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lastRenderedPageBreak/>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Ternes</w:t>
      </w:r>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Ternes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5506EE0D"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r w:rsidR="00AD36A9">
        <w:rPr>
          <w:rFonts w:asciiTheme="minorHAnsi" w:hAnsiTheme="minorHAnsi" w:cstheme="minorHAnsi"/>
          <w:sz w:val="22"/>
          <w:szCs w:val="22"/>
        </w:rPr>
        <w:t xml:space="preserve"> Dietetics Specialization</w:t>
      </w:r>
    </w:p>
    <w:p w14:paraId="3701B672" w14:textId="77777777" w:rsidR="00A06BCA" w:rsidRDefault="00A06BCA" w:rsidP="00265383">
      <w:pPr>
        <w:rPr>
          <w:rFonts w:asciiTheme="minorHAnsi" w:hAnsiTheme="minorHAnsi" w:cstheme="minorHAnsi"/>
          <w:sz w:val="22"/>
          <w:szCs w:val="22"/>
        </w:rPr>
      </w:pPr>
    </w:p>
    <w:p w14:paraId="57C10336" w14:textId="306F609B"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AD36A9">
        <w:rPr>
          <w:rFonts w:asciiTheme="minorHAnsi" w:hAnsiTheme="minorHAnsi" w:cstheme="minorHAnsi"/>
          <w:sz w:val="22"/>
          <w:szCs w:val="22"/>
        </w:rPr>
        <w:t xml:space="preserve"> School of Health Sciences</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74091C02"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r w:rsidR="00AD36A9">
        <w:rPr>
          <w:rFonts w:ascii="MS Gothic" w:eastAsia="MS Gothic" w:hAnsi="MS Gothic" w:cstheme="minorHAnsi" w:hint="eastAsia"/>
          <w:sz w:val="22"/>
          <w:szCs w:val="22"/>
        </w:rPr>
        <w:t>X</w:t>
      </w:r>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1F78EF6C"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r w:rsidR="00AD36A9">
        <w:rPr>
          <w:rFonts w:asciiTheme="minorHAnsi" w:hAnsiTheme="minorHAnsi" w:cstheme="minorHAnsi"/>
          <w:sz w:val="22"/>
          <w:szCs w:val="22"/>
        </w:rPr>
        <w:t>Accreditation Council for Education in Nutrition and Dietetics (ACEND)</w:t>
      </w:r>
    </w:p>
    <w:p w14:paraId="68E6D466" w14:textId="77777777" w:rsidR="000B04CB" w:rsidRDefault="000B04CB" w:rsidP="009223A5">
      <w:pPr>
        <w:rPr>
          <w:rFonts w:asciiTheme="minorHAnsi" w:hAnsiTheme="minorHAnsi" w:cstheme="minorHAnsi"/>
          <w:sz w:val="22"/>
          <w:szCs w:val="22"/>
        </w:rPr>
      </w:pPr>
    </w:p>
    <w:p w14:paraId="5F28CF1E" w14:textId="6F6D354B"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AD36A9">
        <w:rPr>
          <w:rFonts w:asciiTheme="minorHAnsi" w:hAnsiTheme="minorHAnsi" w:cstheme="minorHAnsi"/>
          <w:sz w:val="22"/>
          <w:szCs w:val="22"/>
        </w:rPr>
        <w:t xml:space="preserve"> May 21, 2021</w:t>
      </w:r>
    </w:p>
    <w:p w14:paraId="3B9E8944" w14:textId="77777777" w:rsidR="009223A5" w:rsidRPr="00265383" w:rsidRDefault="009223A5" w:rsidP="009223A5">
      <w:pPr>
        <w:rPr>
          <w:rFonts w:asciiTheme="minorHAnsi" w:hAnsiTheme="minorHAnsi" w:cstheme="minorHAnsi"/>
          <w:sz w:val="22"/>
          <w:szCs w:val="22"/>
        </w:rPr>
      </w:pPr>
    </w:p>
    <w:p w14:paraId="4C04C799" w14:textId="38596D0C"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AD36A9">
        <w:rPr>
          <w:rFonts w:asciiTheme="minorHAnsi" w:hAnsiTheme="minorHAnsi" w:cstheme="minorHAnsi"/>
          <w:sz w:val="22"/>
          <w:szCs w:val="22"/>
        </w:rPr>
        <w:t>Amanda Lynch</w:t>
      </w:r>
      <w:r w:rsidR="002E02DE">
        <w:rPr>
          <w:rFonts w:asciiTheme="minorHAnsi" w:hAnsiTheme="minorHAnsi" w:cstheme="minorHAnsi"/>
          <w:sz w:val="22"/>
          <w:szCs w:val="22"/>
        </w:rPr>
        <w:t>, Nutrition Program Director</w:t>
      </w:r>
      <w:r w:rsidR="00AD36A9">
        <w:rPr>
          <w:rFonts w:asciiTheme="minorHAnsi" w:hAnsiTheme="minorHAnsi" w:cstheme="minorHAnsi"/>
          <w:sz w:val="22"/>
          <w:szCs w:val="22"/>
        </w:rPr>
        <w:tab/>
        <w:t>lynch3@oakland.edu</w:t>
      </w:r>
    </w:p>
    <w:p w14:paraId="6E6A26E0" w14:textId="6B82A873"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AD36A9">
        <w:rPr>
          <w:rFonts w:asciiTheme="minorHAnsi" w:hAnsiTheme="minorHAnsi" w:cstheme="minorHAnsi"/>
          <w:sz w:val="22"/>
          <w:szCs w:val="22"/>
        </w:rPr>
        <w:t xml:space="preserve"> </w:t>
      </w:r>
      <w:r w:rsidR="002E02DE">
        <w:rPr>
          <w:rFonts w:asciiTheme="minorHAnsi" w:hAnsiTheme="minorHAnsi" w:cstheme="minorHAnsi"/>
          <w:sz w:val="22"/>
          <w:szCs w:val="22"/>
        </w:rPr>
        <w:tab/>
      </w:r>
      <w:r w:rsidR="00AD36A9">
        <w:rPr>
          <w:rFonts w:asciiTheme="minorHAnsi" w:hAnsiTheme="minorHAnsi" w:cstheme="minorHAnsi"/>
          <w:sz w:val="22"/>
          <w:szCs w:val="22"/>
        </w:rPr>
        <w:t>Jennifer Lucarelli</w:t>
      </w:r>
      <w:r w:rsidR="002E02DE">
        <w:rPr>
          <w:rFonts w:asciiTheme="minorHAnsi" w:hAnsiTheme="minorHAnsi" w:cstheme="minorHAnsi"/>
          <w:sz w:val="22"/>
          <w:szCs w:val="22"/>
        </w:rPr>
        <w:t xml:space="preserve">, Chair </w:t>
      </w:r>
      <w:r w:rsidR="002E02DE">
        <w:rPr>
          <w:rFonts w:asciiTheme="minorHAnsi" w:hAnsiTheme="minorHAnsi" w:cstheme="minorHAnsi"/>
          <w:sz w:val="22"/>
          <w:szCs w:val="22"/>
        </w:rPr>
        <w:tab/>
      </w:r>
      <w:r w:rsidR="002E02DE">
        <w:rPr>
          <w:rFonts w:asciiTheme="minorHAnsi" w:hAnsiTheme="minorHAnsi" w:cstheme="minorHAnsi"/>
          <w:sz w:val="22"/>
          <w:szCs w:val="22"/>
        </w:rPr>
        <w:tab/>
      </w:r>
      <w:r w:rsidR="00AD36A9">
        <w:rPr>
          <w:rFonts w:asciiTheme="minorHAnsi" w:hAnsiTheme="minorHAnsi" w:cstheme="minorHAnsi"/>
          <w:sz w:val="22"/>
          <w:szCs w:val="22"/>
        </w:rPr>
        <w:t>lucarell@oakland.edu</w:t>
      </w:r>
    </w:p>
    <w:p w14:paraId="79624799" w14:textId="37362F6E"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ab/>
      </w:r>
      <w:r w:rsidR="00AD36A9">
        <w:rPr>
          <w:rFonts w:asciiTheme="minorHAnsi" w:hAnsiTheme="minorHAnsi" w:cstheme="minorHAnsi"/>
          <w:sz w:val="22"/>
          <w:szCs w:val="22"/>
        </w:rPr>
        <w:t xml:space="preserve">Kevin Ball </w:t>
      </w:r>
      <w:r w:rsidR="002E02DE">
        <w:rPr>
          <w:rFonts w:asciiTheme="minorHAnsi" w:hAnsiTheme="minorHAnsi" w:cstheme="minorHAnsi"/>
          <w:sz w:val="22"/>
          <w:szCs w:val="22"/>
        </w:rPr>
        <w:t>, Dean</w:t>
      </w:r>
      <w:r w:rsidR="002E02DE">
        <w:rPr>
          <w:rFonts w:asciiTheme="minorHAnsi" w:hAnsiTheme="minorHAnsi" w:cstheme="minorHAnsi"/>
          <w:sz w:val="22"/>
          <w:szCs w:val="22"/>
        </w:rPr>
        <w:tab/>
      </w:r>
      <w:r w:rsidR="00AD36A9">
        <w:rPr>
          <w:rFonts w:asciiTheme="minorHAnsi" w:hAnsiTheme="minorHAnsi" w:cstheme="minorHAnsi"/>
          <w:sz w:val="22"/>
          <w:szCs w:val="22"/>
        </w:rPr>
        <w:t>kevinball@oakland.edu</w:t>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2AEFE609" w14:textId="16612014" w:rsidR="00045619" w:rsidRPr="00A06BCA" w:rsidRDefault="00045619" w:rsidP="00A720A0">
      <w:pPr>
        <w:ind w:left="360"/>
        <w:rPr>
          <w:rFonts w:asciiTheme="minorHAnsi" w:hAnsiTheme="minorHAnsi" w:cstheme="minorHAnsi"/>
          <w:sz w:val="22"/>
          <w:szCs w:val="22"/>
        </w:rPr>
      </w:pP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7CA5AA53"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7A843978" w14:textId="3D9DB298" w:rsidR="00AD36A9" w:rsidRDefault="00AD36A9" w:rsidP="00276F4B">
      <w:pPr>
        <w:rPr>
          <w:rFonts w:asciiTheme="minorHAnsi" w:hAnsiTheme="minorHAnsi" w:cstheme="minorHAnsi"/>
          <w:i/>
          <w:sz w:val="22"/>
          <w:szCs w:val="22"/>
        </w:rPr>
      </w:pPr>
    </w:p>
    <w:p w14:paraId="65D950C0" w14:textId="5E39DDF6" w:rsidR="00AD36A9" w:rsidRPr="00AD36A9" w:rsidRDefault="00AD36A9" w:rsidP="00276F4B">
      <w:pPr>
        <w:rPr>
          <w:rFonts w:asciiTheme="minorHAnsi" w:hAnsiTheme="minorHAnsi" w:cstheme="minorHAnsi"/>
          <w:b/>
          <w:sz w:val="22"/>
          <w:szCs w:val="22"/>
        </w:rPr>
      </w:pPr>
      <w:r w:rsidRPr="00AD36A9">
        <w:rPr>
          <w:rFonts w:asciiTheme="minorHAnsi" w:hAnsiTheme="minorHAnsi" w:cstheme="minorHAnsi"/>
          <w:b/>
          <w:sz w:val="22"/>
          <w:szCs w:val="22"/>
        </w:rPr>
        <w:t>The Dietetics Program will be accredited under the 2017 Accreditation Standards for Nutrition and Dietetics Didactic Programs (DPD)</w:t>
      </w:r>
    </w:p>
    <w:p w14:paraId="0D2710C2" w14:textId="06C5EAF7" w:rsidR="003B7718" w:rsidRDefault="00AD36A9" w:rsidP="00276F4B">
      <w:pPr>
        <w:rPr>
          <w:rFonts w:asciiTheme="minorHAnsi" w:hAnsiTheme="minorHAnsi" w:cstheme="minorHAnsi"/>
          <w:sz w:val="22"/>
          <w:szCs w:val="22"/>
        </w:rPr>
      </w:pPr>
      <w:r>
        <w:rPr>
          <w:rFonts w:asciiTheme="minorHAnsi" w:hAnsiTheme="minorHAnsi" w:cstheme="minorHAnsi"/>
          <w:sz w:val="22"/>
          <w:szCs w:val="22"/>
        </w:rPr>
        <w:t xml:space="preserve"> The link to the Standards is: </w:t>
      </w:r>
      <w:hyperlink r:id="rId11" w:history="1">
        <w:r w:rsidRPr="00737C1A">
          <w:rPr>
            <w:rStyle w:val="Hyperlink"/>
            <w:rFonts w:asciiTheme="minorHAnsi" w:hAnsiTheme="minorHAnsi" w:cstheme="minorHAnsi"/>
            <w:sz w:val="22"/>
            <w:szCs w:val="22"/>
          </w:rPr>
          <w:t>https://www.eatrightpro.org/-/media/eatrightpro-files/acend/about-program-accreditation/accreditation-standards/2017-standardsfordpdprograms.pdf?la=en&amp;hash=18A1A38F32363415418B9E72E055AC98DD0438C0</w:t>
        </w:r>
      </w:hyperlink>
    </w:p>
    <w:p w14:paraId="03F6F5F7" w14:textId="77777777" w:rsidR="00AD36A9" w:rsidRPr="00AD36A9" w:rsidRDefault="00AD36A9" w:rsidP="00276F4B">
      <w:pPr>
        <w:rPr>
          <w:rFonts w:asciiTheme="minorHAnsi" w:hAnsiTheme="minorHAnsi" w:cstheme="minorHAnsi"/>
          <w:sz w:val="22"/>
          <w:szCs w:val="22"/>
        </w:rPr>
      </w:pPr>
    </w:p>
    <w:tbl>
      <w:tblPr>
        <w:tblStyle w:val="TableGrid"/>
        <w:tblW w:w="0" w:type="auto"/>
        <w:tblLook w:val="04A0" w:firstRow="1" w:lastRow="0" w:firstColumn="1" w:lastColumn="0" w:noHBand="0" w:noVBand="1"/>
        <w:tblCaption w:val="Higher Learning Commission Requirements"/>
        <w:tblDescription w:val="This table describes the HLC requirements surrounding the assessment of student learning. It leaves ample space for units to describe how their accrediting body's requirements align with HLC requirements. It also provides a column to describe the location of the unit's accrediting body (website, pagenumber, etc.)"/>
      </w:tblPr>
      <w:tblGrid>
        <w:gridCol w:w="4512"/>
        <w:gridCol w:w="6464"/>
        <w:gridCol w:w="1984"/>
      </w:tblGrid>
      <w:tr w:rsidR="0050568A" w14:paraId="0FAFA9BD" w14:textId="3008F9AD" w:rsidTr="00AD146A">
        <w:trPr>
          <w:tblHeader/>
        </w:trPr>
        <w:tc>
          <w:tcPr>
            <w:tcW w:w="4512"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464"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84"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AD146A">
        <w:tc>
          <w:tcPr>
            <w:tcW w:w="4512" w:type="dxa"/>
            <w:tcBorders>
              <w:top w:val="single" w:sz="4" w:space="0" w:color="auto"/>
            </w:tcBorders>
          </w:tcPr>
          <w:p w14:paraId="6159C95A" w14:textId="77777777"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p w14:paraId="610F80A3" w14:textId="4F288A98" w:rsidR="002E02DE" w:rsidRDefault="002E02DE" w:rsidP="00276F4B">
            <w:pPr>
              <w:rPr>
                <w:rFonts w:asciiTheme="minorHAnsi" w:hAnsiTheme="minorHAnsi" w:cstheme="minorHAnsi"/>
                <w:sz w:val="22"/>
                <w:szCs w:val="22"/>
              </w:rPr>
            </w:pPr>
          </w:p>
        </w:tc>
        <w:tc>
          <w:tcPr>
            <w:tcW w:w="6464" w:type="dxa"/>
            <w:tcBorders>
              <w:top w:val="single" w:sz="4" w:space="0" w:color="auto"/>
            </w:tcBorders>
          </w:tcPr>
          <w:p w14:paraId="04C2C238" w14:textId="77777777" w:rsidR="002E02DE" w:rsidRPr="002E02DE" w:rsidRDefault="002E02DE" w:rsidP="002E02DE">
            <w:pPr>
              <w:rPr>
                <w:rFonts w:asciiTheme="minorHAnsi" w:hAnsiTheme="minorHAnsi" w:cstheme="minorHAnsi"/>
                <w:sz w:val="22"/>
                <w:szCs w:val="22"/>
              </w:rPr>
            </w:pPr>
          </w:p>
          <w:p w14:paraId="2EE3456E" w14:textId="4C8E5D42" w:rsidR="002E02DE" w:rsidRPr="002E02DE" w:rsidRDefault="002E02DE" w:rsidP="00AD36A9">
            <w:pPr>
              <w:rPr>
                <w:rFonts w:asciiTheme="minorHAnsi" w:hAnsiTheme="minorHAnsi" w:cstheme="minorHAnsi"/>
                <w:b/>
                <w:sz w:val="22"/>
                <w:szCs w:val="22"/>
                <w:u w:val="single"/>
              </w:rPr>
            </w:pPr>
            <w:r w:rsidRPr="002E02DE">
              <w:rPr>
                <w:rFonts w:asciiTheme="minorHAnsi" w:hAnsiTheme="minorHAnsi" w:cstheme="minorHAnsi"/>
                <w:b/>
                <w:sz w:val="22"/>
                <w:szCs w:val="22"/>
                <w:u w:val="single"/>
              </w:rPr>
              <w:t>Curriculum Requirements</w:t>
            </w:r>
          </w:p>
          <w:p w14:paraId="5C2A421A" w14:textId="59B92592" w:rsidR="00AD36A9" w:rsidRDefault="00AD36A9" w:rsidP="00AD36A9">
            <w:pPr>
              <w:rPr>
                <w:rFonts w:asciiTheme="minorHAnsi" w:hAnsiTheme="minorHAnsi" w:cstheme="minorHAnsi"/>
                <w:sz w:val="22"/>
                <w:szCs w:val="22"/>
              </w:rPr>
            </w:pPr>
            <w:r w:rsidRPr="00AD36A9">
              <w:rPr>
                <w:rFonts w:asciiTheme="minorHAnsi" w:hAnsiTheme="minorHAnsi" w:cstheme="minorHAnsi"/>
                <w:sz w:val="22"/>
                <w:szCs w:val="22"/>
              </w:rPr>
              <w:t>The Core Knowledge must be the basis on which the program curriculum and learning activities are built within the context of the mission and goals of the program</w:t>
            </w:r>
          </w:p>
          <w:p w14:paraId="3A7FB228" w14:textId="77777777" w:rsidR="00AD36A9" w:rsidRDefault="00AD36A9" w:rsidP="00AD36A9">
            <w:pPr>
              <w:rPr>
                <w:rFonts w:asciiTheme="minorHAnsi" w:hAnsiTheme="minorHAnsi" w:cstheme="minorHAnsi"/>
                <w:sz w:val="22"/>
                <w:szCs w:val="22"/>
              </w:rPr>
            </w:pPr>
          </w:p>
          <w:p w14:paraId="5F3DC41D" w14:textId="42666F99" w:rsidR="00AD36A9" w:rsidRDefault="006C5791" w:rsidP="00AD36A9">
            <w:pPr>
              <w:rPr>
                <w:rFonts w:asciiTheme="minorHAnsi" w:hAnsiTheme="minorHAnsi" w:cstheme="minorHAnsi"/>
                <w:sz w:val="22"/>
                <w:szCs w:val="22"/>
              </w:rPr>
            </w:pPr>
            <w:r>
              <w:rPr>
                <w:rFonts w:asciiTheme="minorHAnsi" w:hAnsiTheme="minorHAnsi" w:cstheme="minorHAnsi"/>
                <w:sz w:val="22"/>
                <w:szCs w:val="22"/>
              </w:rPr>
              <w:t xml:space="preserve">R.E. 5.1 </w:t>
            </w:r>
            <w:r w:rsidR="00AD36A9" w:rsidRPr="00AD36A9">
              <w:rPr>
                <w:rFonts w:asciiTheme="minorHAnsi" w:hAnsiTheme="minorHAnsi" w:cstheme="minorHAnsi"/>
                <w:sz w:val="22"/>
                <w:szCs w:val="22"/>
              </w:rPr>
              <w:t>The program’s curriculum must be designed to ensure the breadth and depth of requisite knowledge needed for entry to supervised practice to become a registered dietitian nutritionist</w:t>
            </w:r>
            <w:r>
              <w:rPr>
                <w:rFonts w:asciiTheme="minorHAnsi" w:hAnsiTheme="minorHAnsi" w:cstheme="minorHAnsi"/>
                <w:sz w:val="22"/>
                <w:szCs w:val="22"/>
              </w:rPr>
              <w:t>.</w:t>
            </w:r>
          </w:p>
          <w:p w14:paraId="6ED423A2" w14:textId="5B6802FF" w:rsidR="002E02DE" w:rsidRDefault="002E02DE" w:rsidP="00AD36A9">
            <w:pPr>
              <w:rPr>
                <w:rFonts w:asciiTheme="minorHAnsi" w:hAnsiTheme="minorHAnsi" w:cstheme="minorHAnsi"/>
                <w:sz w:val="22"/>
                <w:szCs w:val="22"/>
              </w:rPr>
            </w:pPr>
          </w:p>
          <w:p w14:paraId="7DE64F8B" w14:textId="0F4A6E87" w:rsidR="002E02DE" w:rsidRPr="002E02DE" w:rsidRDefault="002E02DE" w:rsidP="002E02DE">
            <w:pPr>
              <w:rPr>
                <w:rFonts w:asciiTheme="minorHAnsi" w:hAnsiTheme="minorHAnsi" w:cstheme="minorHAnsi"/>
                <w:sz w:val="22"/>
                <w:szCs w:val="22"/>
              </w:rPr>
            </w:pPr>
            <w:r>
              <w:rPr>
                <w:rFonts w:asciiTheme="minorHAnsi" w:hAnsiTheme="minorHAnsi" w:cstheme="minorHAnsi"/>
                <w:sz w:val="22"/>
                <w:szCs w:val="22"/>
              </w:rPr>
              <w:t xml:space="preserve">5.1 </w:t>
            </w:r>
            <w:r w:rsidRPr="002E02DE">
              <w:rPr>
                <w:rFonts w:asciiTheme="minorHAnsi" w:hAnsiTheme="minorHAnsi" w:cstheme="minorHAnsi"/>
                <w:sz w:val="22"/>
                <w:szCs w:val="22"/>
              </w:rPr>
              <w:t>b. The program’s curriculum must prepare students with the following core knowledge: </w:t>
            </w:r>
          </w:p>
          <w:p w14:paraId="078693B1"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1. Domain 1. Scientific and Evidence Base of Practice: Integration of scientific information and translation  of research into practice. </w:t>
            </w:r>
          </w:p>
          <w:p w14:paraId="50DC9B15"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u w:val="single"/>
              </w:rPr>
              <w:t xml:space="preserve">Knowledge </w:t>
            </w:r>
            <w:r w:rsidRPr="002E02DE">
              <w:rPr>
                <w:rFonts w:asciiTheme="minorHAnsi" w:hAnsiTheme="minorHAnsi" w:cstheme="minorHAnsi"/>
                <w:sz w:val="22"/>
                <w:szCs w:val="22"/>
              </w:rPr>
              <w:t> </w:t>
            </w:r>
          </w:p>
          <w:p w14:paraId="3A364DCB"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Upon completion of the program, graduates are able to: </w:t>
            </w:r>
          </w:p>
          <w:p w14:paraId="5053446E"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1.1 Demonstrate how to locate, interpret, evaluate and use professional literature to make  ethical, evidence-based practice decisions. </w:t>
            </w:r>
          </w:p>
          <w:p w14:paraId="25750814"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1.2 Use current information technologies to locate and apply evidence-based guidelines  and protocols. </w:t>
            </w:r>
          </w:p>
          <w:p w14:paraId="15C3B21F"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1.3 Apply critical thinking skills. </w:t>
            </w:r>
          </w:p>
          <w:p w14:paraId="0F951459"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lastRenderedPageBreak/>
              <w:t>2. Domain 2. Professional Practice Expectations: Beliefs, values, attitudes and behaviors for the professional  dietitian nutritionist level of practice.  </w:t>
            </w:r>
          </w:p>
          <w:p w14:paraId="653A5FF0"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u w:val="single"/>
              </w:rPr>
              <w:t>Knowledge</w:t>
            </w:r>
            <w:r w:rsidRPr="002E02DE">
              <w:rPr>
                <w:rFonts w:asciiTheme="minorHAnsi" w:hAnsiTheme="minorHAnsi" w:cstheme="minorHAnsi"/>
                <w:sz w:val="22"/>
                <w:szCs w:val="22"/>
              </w:rPr>
              <w:t> </w:t>
            </w:r>
          </w:p>
          <w:p w14:paraId="0B7F7094"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Upon completion of the program, graduates are able to: </w:t>
            </w:r>
          </w:p>
          <w:p w14:paraId="330E90F1"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2.1 Demonstrate effective and professional oral and written communication and  documentation</w:t>
            </w:r>
            <w:r w:rsidRPr="002E02DE">
              <w:rPr>
                <w:rFonts w:asciiTheme="minorHAnsi" w:hAnsiTheme="minorHAnsi" w:cstheme="minorHAnsi"/>
                <w:i/>
                <w:iCs/>
                <w:sz w:val="22"/>
                <w:szCs w:val="22"/>
              </w:rPr>
              <w:t>. </w:t>
            </w:r>
          </w:p>
          <w:p w14:paraId="50DB49B6"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2.2 Describe the governance of nutrition and dietetics practice, such as the Scope of  Nutrition and Dietetics Practice and the Code of Ethics for the Profession of Nutrition  </w:t>
            </w:r>
          </w:p>
          <w:p w14:paraId="07A7B4FF"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and Dietetics; and describe interprofessional relationships in various practice settings. </w:t>
            </w:r>
          </w:p>
          <w:p w14:paraId="47D74100"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2.3 Assess the impact of a public policy position on nutrition and dietetics practice.  KRDN 2.4 Discuss the impact of health care policy and different health care delivery systems on  food and nutrition services.  </w:t>
            </w:r>
          </w:p>
          <w:p w14:paraId="27E576D7"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2.5 Identify and describe the work of interprofessional teams and the roles of others with  whom the registered dietitian nutritionist collaborates in the delivery of food and  </w:t>
            </w:r>
          </w:p>
          <w:p w14:paraId="290CE7C7"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nutrition services. </w:t>
            </w:r>
          </w:p>
          <w:p w14:paraId="6F2496AE"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2.6 Demonstrate an understanding of cultural competence/sensitivity. </w:t>
            </w:r>
          </w:p>
          <w:p w14:paraId="69B585CC"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2.7 Demonstrate identification with the nutrition and dietetics profession through  activities such as participation in professional organizations and defending a position  </w:t>
            </w:r>
          </w:p>
          <w:p w14:paraId="73DAD539"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on issues impacting the nutrition and dietetics profession. </w:t>
            </w:r>
          </w:p>
          <w:p w14:paraId="2D32DE0D"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2.8 Demonstrate an understanding of the importance and expectations of a professional in  mentoring and precepting others. </w:t>
            </w:r>
          </w:p>
          <w:p w14:paraId="137D5365"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3. Domain 3. Clinical and Customer Services: Development and delivery of information, products and  services to individuals, groups and populations.  </w:t>
            </w:r>
          </w:p>
          <w:p w14:paraId="49F505C9"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u w:val="single"/>
              </w:rPr>
              <w:t>Knowledge</w:t>
            </w:r>
            <w:r w:rsidRPr="002E02DE">
              <w:rPr>
                <w:rFonts w:asciiTheme="minorHAnsi" w:hAnsiTheme="minorHAnsi" w:cstheme="minorHAnsi"/>
                <w:sz w:val="22"/>
                <w:szCs w:val="22"/>
              </w:rPr>
              <w:t> </w:t>
            </w:r>
          </w:p>
          <w:p w14:paraId="57EBBD6B"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Upon completion of the program, graduates are able to: </w:t>
            </w:r>
          </w:p>
          <w:p w14:paraId="09CEA411"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lastRenderedPageBreak/>
              <w:t>KRDN 3.1 Use the Nutrition Care Process to make decisions, identify nutrition-related problems  and determine and evaluate nutrition interventions. </w:t>
            </w:r>
          </w:p>
          <w:p w14:paraId="5778CCC2"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3.2 Develop an educational session or program/educational strategy for a target  </w:t>
            </w:r>
          </w:p>
          <w:p w14:paraId="50540B3D"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population. </w:t>
            </w:r>
          </w:p>
          <w:p w14:paraId="433FF80E"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3.3 Demonstrate counseling and education methods to facilitate behavior change and  enhance wellness for diverse individuals and groups. </w:t>
            </w:r>
          </w:p>
          <w:p w14:paraId="081C0336" w14:textId="77777777" w:rsidR="002E02DE" w:rsidRPr="002E02DE" w:rsidRDefault="002E02DE" w:rsidP="002E02DE">
            <w:pPr>
              <w:rPr>
                <w:rFonts w:asciiTheme="minorHAnsi" w:hAnsiTheme="minorHAnsi" w:cstheme="minorHAnsi"/>
                <w:sz w:val="22"/>
                <w:szCs w:val="22"/>
              </w:rPr>
            </w:pPr>
            <w:r w:rsidRPr="002E02DE">
              <w:rPr>
                <w:rFonts w:asciiTheme="minorHAnsi" w:hAnsiTheme="minorHAnsi" w:cstheme="minorHAnsi"/>
                <w:sz w:val="22"/>
                <w:szCs w:val="22"/>
              </w:rPr>
              <w:t>KRDN 3.4 Explain the processes involved in delivering quality food and nutrition services. KRDN 3.5 Describe basic concepts of nutritional genomics.</w:t>
            </w:r>
          </w:p>
          <w:p w14:paraId="35B3E517" w14:textId="77777777" w:rsidR="002E02DE" w:rsidRPr="002E02DE" w:rsidRDefault="002E02DE" w:rsidP="002E02DE">
            <w:pPr>
              <w:rPr>
                <w:rFonts w:asciiTheme="minorHAnsi" w:hAnsiTheme="minorHAnsi" w:cstheme="minorHAnsi"/>
                <w:sz w:val="22"/>
                <w:szCs w:val="22"/>
              </w:rPr>
            </w:pPr>
          </w:p>
          <w:p w14:paraId="4047E84C" w14:textId="77777777" w:rsidR="002E02DE" w:rsidRPr="00AD36A9" w:rsidRDefault="002E02DE" w:rsidP="00AD36A9">
            <w:pPr>
              <w:rPr>
                <w:rFonts w:asciiTheme="minorHAnsi" w:hAnsiTheme="minorHAnsi" w:cstheme="minorHAnsi"/>
                <w:sz w:val="22"/>
                <w:szCs w:val="22"/>
              </w:rPr>
            </w:pPr>
          </w:p>
          <w:p w14:paraId="2060C29D" w14:textId="60731F1C" w:rsidR="00AD36A9" w:rsidRPr="00AD36A9" w:rsidRDefault="00AD36A9" w:rsidP="00AD36A9">
            <w:pPr>
              <w:rPr>
                <w:rFonts w:asciiTheme="minorHAnsi" w:hAnsiTheme="minorHAnsi" w:cstheme="minorHAnsi"/>
                <w:sz w:val="22"/>
                <w:szCs w:val="22"/>
              </w:rPr>
            </w:pPr>
          </w:p>
          <w:p w14:paraId="126BFAD8" w14:textId="77777777" w:rsidR="006C5791" w:rsidRPr="006C5791" w:rsidRDefault="006C5791" w:rsidP="006C5791">
            <w:pPr>
              <w:rPr>
                <w:rFonts w:asciiTheme="minorHAnsi" w:hAnsiTheme="minorHAnsi" w:cstheme="minorHAnsi"/>
                <w:sz w:val="22"/>
                <w:szCs w:val="22"/>
              </w:rPr>
            </w:pPr>
            <w:r>
              <w:rPr>
                <w:rFonts w:asciiTheme="minorHAnsi" w:hAnsiTheme="minorHAnsi" w:cstheme="minorHAnsi"/>
                <w:sz w:val="22"/>
                <w:szCs w:val="22"/>
              </w:rPr>
              <w:t xml:space="preserve">R.E. </w:t>
            </w:r>
            <w:r w:rsidRPr="006C5791">
              <w:rPr>
                <w:rFonts w:asciiTheme="minorHAnsi" w:hAnsiTheme="minorHAnsi" w:cstheme="minorHAnsi"/>
                <w:sz w:val="22"/>
                <w:szCs w:val="22"/>
              </w:rPr>
              <w:t>5.3 The program’s curriculum must provide learning activities to attain the breadth and depth of the required curriculum components and core knowledge. Syllabi for courses taught within the academic unit must include these learning activities with the associated KRDNs. a. Learning activities must prepare students for professional practice with patients/clients with various conditions, including, but not limited to overweight and obesity; endocrine disorders; cancer; malnutrition and cardiovascular, gastrointestinal and renal diseases. b. Learning activities must prepare students to implement the Nutrition Care Process with various populations and diverse cultures, including infants, children, adolescents, adults, pregnant/lactating females and older adults. c. Learning activities must use a variety of educational approaches necessary for delivery of curriculum content, to meet learner needs and to facilitate learning objectives.</w:t>
            </w:r>
          </w:p>
          <w:p w14:paraId="6EBA398E" w14:textId="77777777" w:rsidR="002E02DE" w:rsidRDefault="002E02DE" w:rsidP="00AD36A9">
            <w:pPr>
              <w:rPr>
                <w:rFonts w:asciiTheme="minorHAnsi" w:hAnsiTheme="minorHAnsi" w:cstheme="minorHAnsi"/>
                <w:b/>
                <w:sz w:val="22"/>
                <w:szCs w:val="22"/>
                <w:u w:val="single"/>
              </w:rPr>
            </w:pPr>
          </w:p>
          <w:p w14:paraId="0012E788" w14:textId="77777777" w:rsidR="002E02DE" w:rsidRDefault="002E02DE" w:rsidP="00AD36A9">
            <w:pPr>
              <w:rPr>
                <w:rFonts w:asciiTheme="minorHAnsi" w:hAnsiTheme="minorHAnsi" w:cstheme="minorHAnsi"/>
                <w:b/>
                <w:sz w:val="22"/>
                <w:szCs w:val="22"/>
                <w:u w:val="single"/>
              </w:rPr>
            </w:pPr>
          </w:p>
          <w:p w14:paraId="2AC6EA46" w14:textId="680580F8" w:rsidR="0050568A" w:rsidRPr="002E02DE" w:rsidRDefault="0050568A" w:rsidP="00AD36A9">
            <w:pPr>
              <w:rPr>
                <w:rFonts w:asciiTheme="minorHAnsi" w:hAnsiTheme="minorHAnsi" w:cstheme="minorHAnsi"/>
                <w:b/>
                <w:sz w:val="22"/>
                <w:szCs w:val="22"/>
                <w:u w:val="single"/>
              </w:rPr>
            </w:pPr>
          </w:p>
        </w:tc>
        <w:tc>
          <w:tcPr>
            <w:tcW w:w="1984" w:type="dxa"/>
            <w:tcBorders>
              <w:top w:val="single" w:sz="4" w:space="0" w:color="auto"/>
            </w:tcBorders>
          </w:tcPr>
          <w:p w14:paraId="6F5587F1" w14:textId="77777777" w:rsidR="002E02DE" w:rsidRDefault="002E02DE" w:rsidP="00276F4B">
            <w:pPr>
              <w:rPr>
                <w:rFonts w:asciiTheme="minorHAnsi" w:hAnsiTheme="minorHAnsi" w:cstheme="minorHAnsi"/>
                <w:sz w:val="22"/>
                <w:szCs w:val="22"/>
              </w:rPr>
            </w:pPr>
          </w:p>
          <w:p w14:paraId="70E2352A" w14:textId="77777777" w:rsidR="002E02DE" w:rsidRDefault="002E02DE" w:rsidP="002E02DE">
            <w:pPr>
              <w:rPr>
                <w:rFonts w:asciiTheme="minorHAnsi" w:hAnsiTheme="minorHAnsi" w:cstheme="minorHAnsi"/>
                <w:sz w:val="22"/>
                <w:szCs w:val="22"/>
              </w:rPr>
            </w:pPr>
            <w:r>
              <w:rPr>
                <w:rFonts w:asciiTheme="minorHAnsi" w:hAnsiTheme="minorHAnsi" w:cstheme="minorHAnsi"/>
                <w:sz w:val="22"/>
                <w:szCs w:val="22"/>
              </w:rPr>
              <w:t>Standard 5, page 9-11</w:t>
            </w:r>
          </w:p>
          <w:p w14:paraId="0DB6EAB9" w14:textId="77777777" w:rsidR="002E02DE" w:rsidRDefault="002E02DE" w:rsidP="00276F4B">
            <w:pPr>
              <w:rPr>
                <w:rFonts w:asciiTheme="minorHAnsi" w:hAnsiTheme="minorHAnsi" w:cstheme="minorHAnsi"/>
                <w:sz w:val="22"/>
                <w:szCs w:val="22"/>
              </w:rPr>
            </w:pPr>
          </w:p>
          <w:p w14:paraId="601E0BA6" w14:textId="77777777" w:rsidR="002E02DE" w:rsidRDefault="002E02DE" w:rsidP="00276F4B">
            <w:pPr>
              <w:rPr>
                <w:rFonts w:asciiTheme="minorHAnsi" w:hAnsiTheme="minorHAnsi" w:cstheme="minorHAnsi"/>
                <w:sz w:val="22"/>
                <w:szCs w:val="22"/>
              </w:rPr>
            </w:pPr>
          </w:p>
          <w:p w14:paraId="6C606EE1" w14:textId="77777777" w:rsidR="002E02DE" w:rsidRDefault="002E02DE" w:rsidP="00276F4B">
            <w:pPr>
              <w:rPr>
                <w:rFonts w:asciiTheme="minorHAnsi" w:hAnsiTheme="minorHAnsi" w:cstheme="minorHAnsi"/>
                <w:sz w:val="22"/>
                <w:szCs w:val="22"/>
              </w:rPr>
            </w:pPr>
          </w:p>
          <w:p w14:paraId="41407656" w14:textId="77777777" w:rsidR="002E02DE" w:rsidRDefault="002E02DE" w:rsidP="00276F4B">
            <w:pPr>
              <w:rPr>
                <w:rFonts w:asciiTheme="minorHAnsi" w:hAnsiTheme="minorHAnsi" w:cstheme="minorHAnsi"/>
                <w:sz w:val="22"/>
                <w:szCs w:val="22"/>
              </w:rPr>
            </w:pPr>
          </w:p>
          <w:p w14:paraId="2490CB04" w14:textId="77777777" w:rsidR="002E02DE" w:rsidRDefault="002E02DE" w:rsidP="00276F4B">
            <w:pPr>
              <w:rPr>
                <w:rFonts w:asciiTheme="minorHAnsi" w:hAnsiTheme="minorHAnsi" w:cstheme="minorHAnsi"/>
                <w:sz w:val="22"/>
                <w:szCs w:val="22"/>
              </w:rPr>
            </w:pPr>
          </w:p>
          <w:p w14:paraId="7AB5C5CA" w14:textId="77777777" w:rsidR="002E02DE" w:rsidRDefault="002E02DE" w:rsidP="00276F4B">
            <w:pPr>
              <w:rPr>
                <w:rFonts w:asciiTheme="minorHAnsi" w:hAnsiTheme="minorHAnsi" w:cstheme="minorHAnsi"/>
                <w:sz w:val="22"/>
                <w:szCs w:val="22"/>
              </w:rPr>
            </w:pPr>
          </w:p>
          <w:p w14:paraId="6DC618DA" w14:textId="77777777" w:rsidR="002E02DE" w:rsidRDefault="002E02DE" w:rsidP="00276F4B">
            <w:pPr>
              <w:rPr>
                <w:rFonts w:asciiTheme="minorHAnsi" w:hAnsiTheme="minorHAnsi" w:cstheme="minorHAnsi"/>
                <w:sz w:val="22"/>
                <w:szCs w:val="22"/>
              </w:rPr>
            </w:pPr>
          </w:p>
          <w:p w14:paraId="1978BBD6" w14:textId="77777777" w:rsidR="002E02DE" w:rsidRDefault="002E02DE" w:rsidP="00276F4B">
            <w:pPr>
              <w:rPr>
                <w:rFonts w:asciiTheme="minorHAnsi" w:hAnsiTheme="minorHAnsi" w:cstheme="minorHAnsi"/>
                <w:sz w:val="22"/>
                <w:szCs w:val="22"/>
              </w:rPr>
            </w:pPr>
          </w:p>
          <w:p w14:paraId="4A0590C3" w14:textId="77777777" w:rsidR="002E02DE" w:rsidRDefault="002E02DE" w:rsidP="00276F4B">
            <w:pPr>
              <w:rPr>
                <w:rFonts w:asciiTheme="minorHAnsi" w:hAnsiTheme="minorHAnsi" w:cstheme="minorHAnsi"/>
                <w:sz w:val="22"/>
                <w:szCs w:val="22"/>
              </w:rPr>
            </w:pPr>
          </w:p>
          <w:p w14:paraId="602E7160" w14:textId="77777777" w:rsidR="002E02DE" w:rsidRDefault="002E02DE" w:rsidP="00276F4B">
            <w:pPr>
              <w:rPr>
                <w:rFonts w:asciiTheme="minorHAnsi" w:hAnsiTheme="minorHAnsi" w:cstheme="minorHAnsi"/>
                <w:sz w:val="22"/>
                <w:szCs w:val="22"/>
              </w:rPr>
            </w:pPr>
          </w:p>
          <w:p w14:paraId="1DDB4C01" w14:textId="77777777" w:rsidR="002E02DE" w:rsidRDefault="002E02DE" w:rsidP="00276F4B">
            <w:pPr>
              <w:rPr>
                <w:rFonts w:asciiTheme="minorHAnsi" w:hAnsiTheme="minorHAnsi" w:cstheme="minorHAnsi"/>
                <w:sz w:val="22"/>
                <w:szCs w:val="22"/>
              </w:rPr>
            </w:pPr>
          </w:p>
          <w:p w14:paraId="67B99857" w14:textId="77777777" w:rsidR="002E02DE" w:rsidRDefault="002E02DE" w:rsidP="00276F4B">
            <w:pPr>
              <w:rPr>
                <w:rFonts w:asciiTheme="minorHAnsi" w:hAnsiTheme="minorHAnsi" w:cstheme="minorHAnsi"/>
                <w:sz w:val="22"/>
                <w:szCs w:val="22"/>
              </w:rPr>
            </w:pPr>
          </w:p>
          <w:p w14:paraId="29B1BB58" w14:textId="77777777" w:rsidR="002E02DE" w:rsidRDefault="002E02DE" w:rsidP="00276F4B">
            <w:pPr>
              <w:rPr>
                <w:rFonts w:asciiTheme="minorHAnsi" w:hAnsiTheme="minorHAnsi" w:cstheme="minorHAnsi"/>
                <w:sz w:val="22"/>
                <w:szCs w:val="22"/>
              </w:rPr>
            </w:pPr>
          </w:p>
          <w:p w14:paraId="476727D5" w14:textId="77777777" w:rsidR="002E02DE" w:rsidRDefault="002E02DE" w:rsidP="00276F4B">
            <w:pPr>
              <w:rPr>
                <w:rFonts w:asciiTheme="minorHAnsi" w:hAnsiTheme="minorHAnsi" w:cstheme="minorHAnsi"/>
                <w:sz w:val="22"/>
                <w:szCs w:val="22"/>
              </w:rPr>
            </w:pPr>
          </w:p>
          <w:p w14:paraId="6EC45882" w14:textId="77777777" w:rsidR="002E02DE" w:rsidRDefault="002E02DE" w:rsidP="00276F4B">
            <w:pPr>
              <w:rPr>
                <w:rFonts w:asciiTheme="minorHAnsi" w:hAnsiTheme="minorHAnsi" w:cstheme="minorHAnsi"/>
                <w:sz w:val="22"/>
                <w:szCs w:val="22"/>
              </w:rPr>
            </w:pPr>
          </w:p>
          <w:p w14:paraId="598FDFD9" w14:textId="77777777" w:rsidR="002E02DE" w:rsidRDefault="002E02DE" w:rsidP="00276F4B">
            <w:pPr>
              <w:rPr>
                <w:rFonts w:asciiTheme="minorHAnsi" w:hAnsiTheme="minorHAnsi" w:cstheme="minorHAnsi"/>
                <w:sz w:val="22"/>
                <w:szCs w:val="22"/>
              </w:rPr>
            </w:pPr>
          </w:p>
          <w:p w14:paraId="21E6CCE2" w14:textId="77777777" w:rsidR="002E02DE" w:rsidRDefault="002E02DE" w:rsidP="00276F4B">
            <w:pPr>
              <w:rPr>
                <w:rFonts w:asciiTheme="minorHAnsi" w:hAnsiTheme="minorHAnsi" w:cstheme="minorHAnsi"/>
                <w:sz w:val="22"/>
                <w:szCs w:val="22"/>
              </w:rPr>
            </w:pPr>
          </w:p>
          <w:p w14:paraId="1C1250AE" w14:textId="77777777" w:rsidR="002E02DE" w:rsidRDefault="002E02DE" w:rsidP="00276F4B">
            <w:pPr>
              <w:rPr>
                <w:rFonts w:asciiTheme="minorHAnsi" w:hAnsiTheme="minorHAnsi" w:cstheme="minorHAnsi"/>
                <w:sz w:val="22"/>
                <w:szCs w:val="22"/>
              </w:rPr>
            </w:pPr>
          </w:p>
          <w:p w14:paraId="7C310BA7" w14:textId="77777777" w:rsidR="002E02DE" w:rsidRDefault="002E02DE" w:rsidP="00276F4B">
            <w:pPr>
              <w:rPr>
                <w:rFonts w:asciiTheme="minorHAnsi" w:hAnsiTheme="minorHAnsi" w:cstheme="minorHAnsi"/>
                <w:sz w:val="22"/>
                <w:szCs w:val="22"/>
              </w:rPr>
            </w:pPr>
          </w:p>
          <w:p w14:paraId="0A3B057C" w14:textId="77777777" w:rsidR="002E02DE" w:rsidRDefault="002E02DE" w:rsidP="00276F4B">
            <w:pPr>
              <w:rPr>
                <w:rFonts w:asciiTheme="minorHAnsi" w:hAnsiTheme="minorHAnsi" w:cstheme="minorHAnsi"/>
                <w:sz w:val="22"/>
                <w:szCs w:val="22"/>
              </w:rPr>
            </w:pPr>
          </w:p>
          <w:p w14:paraId="71E81352" w14:textId="77777777" w:rsidR="002E02DE" w:rsidRDefault="002E02DE" w:rsidP="00276F4B">
            <w:pPr>
              <w:rPr>
                <w:rFonts w:asciiTheme="minorHAnsi" w:hAnsiTheme="minorHAnsi" w:cstheme="minorHAnsi"/>
                <w:sz w:val="22"/>
                <w:szCs w:val="22"/>
              </w:rPr>
            </w:pPr>
          </w:p>
          <w:p w14:paraId="27523817" w14:textId="77777777" w:rsidR="002E02DE" w:rsidRDefault="002E02DE" w:rsidP="00276F4B">
            <w:pPr>
              <w:rPr>
                <w:rFonts w:asciiTheme="minorHAnsi" w:hAnsiTheme="minorHAnsi" w:cstheme="minorHAnsi"/>
                <w:sz w:val="22"/>
                <w:szCs w:val="22"/>
              </w:rPr>
            </w:pPr>
          </w:p>
          <w:p w14:paraId="3564ACE4" w14:textId="77777777" w:rsidR="002E02DE" w:rsidRDefault="002E02DE" w:rsidP="00276F4B">
            <w:pPr>
              <w:rPr>
                <w:rFonts w:asciiTheme="minorHAnsi" w:hAnsiTheme="minorHAnsi" w:cstheme="minorHAnsi"/>
                <w:sz w:val="22"/>
                <w:szCs w:val="22"/>
              </w:rPr>
            </w:pPr>
          </w:p>
          <w:p w14:paraId="06059263" w14:textId="77777777" w:rsidR="002E02DE" w:rsidRDefault="002E02DE" w:rsidP="00276F4B">
            <w:pPr>
              <w:rPr>
                <w:rFonts w:asciiTheme="minorHAnsi" w:hAnsiTheme="minorHAnsi" w:cstheme="minorHAnsi"/>
                <w:sz w:val="22"/>
                <w:szCs w:val="22"/>
              </w:rPr>
            </w:pPr>
          </w:p>
          <w:p w14:paraId="4FFA2395" w14:textId="77777777" w:rsidR="002E02DE" w:rsidRDefault="002E02DE" w:rsidP="00276F4B">
            <w:pPr>
              <w:rPr>
                <w:rFonts w:asciiTheme="minorHAnsi" w:hAnsiTheme="minorHAnsi" w:cstheme="minorHAnsi"/>
                <w:sz w:val="22"/>
                <w:szCs w:val="22"/>
              </w:rPr>
            </w:pPr>
          </w:p>
          <w:p w14:paraId="470E6B4C" w14:textId="77777777" w:rsidR="002E02DE" w:rsidRDefault="002E02DE" w:rsidP="00276F4B">
            <w:pPr>
              <w:rPr>
                <w:rFonts w:asciiTheme="minorHAnsi" w:hAnsiTheme="minorHAnsi" w:cstheme="minorHAnsi"/>
                <w:sz w:val="22"/>
                <w:szCs w:val="22"/>
              </w:rPr>
            </w:pPr>
          </w:p>
          <w:p w14:paraId="4E8ACDA0" w14:textId="77777777" w:rsidR="002E02DE" w:rsidRDefault="002E02DE" w:rsidP="00276F4B">
            <w:pPr>
              <w:rPr>
                <w:rFonts w:asciiTheme="minorHAnsi" w:hAnsiTheme="minorHAnsi" w:cstheme="minorHAnsi"/>
                <w:sz w:val="22"/>
                <w:szCs w:val="22"/>
              </w:rPr>
            </w:pPr>
          </w:p>
          <w:p w14:paraId="571EFA10" w14:textId="77777777" w:rsidR="002E02DE" w:rsidRDefault="002E02DE" w:rsidP="00276F4B">
            <w:pPr>
              <w:rPr>
                <w:rFonts w:asciiTheme="minorHAnsi" w:hAnsiTheme="minorHAnsi" w:cstheme="minorHAnsi"/>
                <w:sz w:val="22"/>
                <w:szCs w:val="22"/>
              </w:rPr>
            </w:pPr>
          </w:p>
          <w:p w14:paraId="44C5DC6E" w14:textId="3C7508DF" w:rsidR="00AD146A" w:rsidRDefault="00AD146A" w:rsidP="00276F4B">
            <w:pPr>
              <w:rPr>
                <w:rFonts w:asciiTheme="minorHAnsi" w:hAnsiTheme="minorHAnsi" w:cstheme="minorHAnsi"/>
                <w:sz w:val="22"/>
                <w:szCs w:val="22"/>
              </w:rPr>
            </w:pPr>
          </w:p>
        </w:tc>
      </w:tr>
      <w:tr w:rsidR="0050568A" w14:paraId="6ABEDAB4" w14:textId="75A643F8" w:rsidTr="00AD146A">
        <w:tc>
          <w:tcPr>
            <w:tcW w:w="4512" w:type="dxa"/>
          </w:tcPr>
          <w:p w14:paraId="6B94957A" w14:textId="1FB8D5E1" w:rsidR="0050568A" w:rsidRDefault="0050568A" w:rsidP="00276F4B">
            <w:pPr>
              <w:rPr>
                <w:rFonts w:asciiTheme="minorHAnsi" w:hAnsiTheme="minorHAnsi" w:cstheme="minorHAnsi"/>
                <w:sz w:val="22"/>
                <w:szCs w:val="22"/>
              </w:rPr>
            </w:pPr>
            <w:r>
              <w:rPr>
                <w:rFonts w:asciiTheme="minorHAnsi" w:hAnsiTheme="minorHAnsi" w:cstheme="minorHAnsi"/>
                <w:sz w:val="22"/>
                <w:szCs w:val="22"/>
              </w:rPr>
              <w:lastRenderedPageBreak/>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6464" w:type="dxa"/>
          </w:tcPr>
          <w:p w14:paraId="5D6A7DA9" w14:textId="6A3C0CFE" w:rsidR="002E02DE" w:rsidRPr="002E02DE" w:rsidRDefault="002E02DE" w:rsidP="00AD36A9">
            <w:pPr>
              <w:rPr>
                <w:rFonts w:asciiTheme="minorHAnsi" w:hAnsiTheme="minorHAnsi" w:cstheme="minorHAnsi"/>
                <w:b/>
                <w:sz w:val="22"/>
                <w:szCs w:val="22"/>
                <w:u w:val="single"/>
              </w:rPr>
            </w:pPr>
            <w:r w:rsidRPr="002E02DE">
              <w:rPr>
                <w:rFonts w:asciiTheme="minorHAnsi" w:hAnsiTheme="minorHAnsi" w:cstheme="minorHAnsi"/>
                <w:b/>
                <w:sz w:val="22"/>
                <w:szCs w:val="22"/>
                <w:u w:val="single"/>
              </w:rPr>
              <w:t>Curriculum Assessment</w:t>
            </w:r>
          </w:p>
          <w:p w14:paraId="131CEF02" w14:textId="59474F87" w:rsidR="00AD36A9" w:rsidRDefault="007A793D" w:rsidP="00AD36A9">
            <w:pPr>
              <w:rPr>
                <w:rFonts w:asciiTheme="minorHAnsi" w:hAnsiTheme="minorHAnsi" w:cstheme="minorHAnsi"/>
                <w:sz w:val="22"/>
                <w:szCs w:val="22"/>
              </w:rPr>
            </w:pPr>
            <w:r>
              <w:rPr>
                <w:rFonts w:asciiTheme="minorHAnsi" w:hAnsiTheme="minorHAnsi" w:cstheme="minorHAnsi"/>
                <w:sz w:val="22"/>
                <w:szCs w:val="22"/>
              </w:rPr>
              <w:t>Standard 6 “</w:t>
            </w:r>
            <w:r w:rsidR="00AD36A9" w:rsidRPr="00AD36A9">
              <w:rPr>
                <w:rFonts w:asciiTheme="minorHAnsi" w:hAnsiTheme="minorHAnsi" w:cstheme="minorHAnsi"/>
                <w:sz w:val="22"/>
                <w:szCs w:val="22"/>
              </w:rPr>
              <w:t>The program must continuously assess achievement of student learning outcomes (SLO). The program must have a written SLO assessment plan, use the plan to collect and analyze data, improve the program based on the findings and update the plan accordingly. The results of the SLO assessment must be used to evaluate and improve the curriculum to enhance the quality of education provided.</w:t>
            </w:r>
            <w:r>
              <w:rPr>
                <w:rFonts w:asciiTheme="minorHAnsi" w:hAnsiTheme="minorHAnsi" w:cstheme="minorHAnsi"/>
                <w:sz w:val="22"/>
                <w:szCs w:val="22"/>
              </w:rPr>
              <w:t>”</w:t>
            </w:r>
          </w:p>
          <w:p w14:paraId="5AD68109" w14:textId="7221156D" w:rsidR="007A793D" w:rsidRDefault="007A793D" w:rsidP="00AD36A9">
            <w:pPr>
              <w:rPr>
                <w:rFonts w:asciiTheme="minorHAnsi" w:hAnsiTheme="minorHAnsi" w:cstheme="minorHAnsi"/>
                <w:sz w:val="22"/>
                <w:szCs w:val="22"/>
              </w:rPr>
            </w:pPr>
          </w:p>
          <w:p w14:paraId="2D311C09"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b/>
                <w:bCs/>
                <w:sz w:val="22"/>
                <w:szCs w:val="22"/>
              </w:rPr>
              <w:t xml:space="preserve">6.1 </w:t>
            </w:r>
            <w:r w:rsidRPr="007A793D">
              <w:rPr>
                <w:rFonts w:asciiTheme="minorHAnsi" w:hAnsiTheme="minorHAnsi" w:cstheme="minorHAnsi"/>
                <w:sz w:val="22"/>
                <w:szCs w:val="22"/>
              </w:rPr>
              <w:t>An SLO assessment plan must be written, reviewed at least annually, updated as needed and include the following  components:  </w:t>
            </w:r>
          </w:p>
          <w:p w14:paraId="500D5990"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a. Core knowledge statements. </w:t>
            </w:r>
          </w:p>
          <w:p w14:paraId="2B31D06A"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b. Learning objectives that state specific activities and qualitative or quantitative target measures that will be  used to assess overall student achievement of core knowledge. </w:t>
            </w:r>
          </w:p>
          <w:p w14:paraId="311549F3"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c. Didactic courses and/or experiential learning experiences in which assessment will occur. d. Individuals responsible for ensuring that assessment occurs. </w:t>
            </w:r>
          </w:p>
          <w:p w14:paraId="18C2C825"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e. Timeline for collecting formative and summative assessment data. Programs are expected to assess at least  one SLO from each domain annually. Within the accreditation cycle, all SLOs must be assessed at least once.  SLOs that are not met must be assessed annually until resolved. </w:t>
            </w:r>
          </w:p>
          <w:p w14:paraId="0384F741"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b/>
                <w:bCs/>
                <w:sz w:val="22"/>
                <w:szCs w:val="22"/>
              </w:rPr>
              <w:t xml:space="preserve">6.2 </w:t>
            </w:r>
            <w:r w:rsidRPr="007A793D">
              <w:rPr>
                <w:rFonts w:asciiTheme="minorHAnsi" w:hAnsiTheme="minorHAnsi" w:cstheme="minorHAnsi"/>
                <w:sz w:val="22"/>
                <w:szCs w:val="22"/>
              </w:rPr>
              <w:t>The program must document that data on achievement of learning outcomes are collected, summarized and  analyzed according to the program’s SLO assessment plan. </w:t>
            </w:r>
          </w:p>
          <w:p w14:paraId="1F0E3ADA"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b/>
                <w:bCs/>
                <w:sz w:val="22"/>
                <w:szCs w:val="22"/>
              </w:rPr>
              <w:t xml:space="preserve">6.3 </w:t>
            </w:r>
            <w:r w:rsidRPr="007A793D">
              <w:rPr>
                <w:rFonts w:asciiTheme="minorHAnsi" w:hAnsiTheme="minorHAnsi" w:cstheme="minorHAnsi"/>
                <w:sz w:val="22"/>
                <w:szCs w:val="22"/>
              </w:rPr>
              <w:t>Formal curriculum review must routinely occur and: </w:t>
            </w:r>
          </w:p>
          <w:p w14:paraId="7FF4868C"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a. Use results of program evaluation and student learning assessment to determine strengths and areas for  improvement. </w:t>
            </w:r>
          </w:p>
          <w:p w14:paraId="62DAA264"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b. Include input from students and other stakeholders as appropriate. </w:t>
            </w:r>
          </w:p>
          <w:p w14:paraId="7894C824"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lastRenderedPageBreak/>
              <w:t>c. Include assessment of comparability of educational experiences and consistency of learning outcomes when  different courses, delivery methods (such as distance education), pathways or tracks or supervised practice  sites are used to accomplish the same educational objectives. </w:t>
            </w:r>
          </w:p>
          <w:p w14:paraId="7ECF09E8" w14:textId="77777777" w:rsidR="007A793D" w:rsidRPr="007A793D" w:rsidRDefault="007A793D" w:rsidP="007A793D">
            <w:pPr>
              <w:rPr>
                <w:rFonts w:asciiTheme="minorHAnsi" w:hAnsiTheme="minorHAnsi" w:cstheme="minorHAnsi"/>
                <w:sz w:val="22"/>
                <w:szCs w:val="22"/>
              </w:rPr>
            </w:pPr>
            <w:r w:rsidRPr="007A793D">
              <w:rPr>
                <w:rFonts w:asciiTheme="minorHAnsi" w:hAnsiTheme="minorHAnsi" w:cstheme="minorHAnsi"/>
                <w:sz w:val="22"/>
                <w:szCs w:val="22"/>
              </w:rPr>
              <w:t>d. Result in actions to maintain or improve student learning. </w:t>
            </w:r>
          </w:p>
          <w:p w14:paraId="67BBFACC" w14:textId="77777777" w:rsidR="007A793D" w:rsidRPr="007A793D" w:rsidRDefault="007A793D" w:rsidP="007A793D">
            <w:pPr>
              <w:rPr>
                <w:rFonts w:asciiTheme="minorHAnsi" w:hAnsiTheme="minorHAnsi" w:cstheme="minorHAnsi"/>
                <w:sz w:val="22"/>
                <w:szCs w:val="22"/>
              </w:rPr>
            </w:pPr>
          </w:p>
          <w:p w14:paraId="7A3FEAA9" w14:textId="77777777" w:rsidR="007A793D" w:rsidRPr="00AD36A9" w:rsidRDefault="007A793D" w:rsidP="00AD36A9">
            <w:pPr>
              <w:rPr>
                <w:rFonts w:asciiTheme="minorHAnsi" w:hAnsiTheme="minorHAnsi" w:cstheme="minorHAnsi"/>
                <w:sz w:val="22"/>
                <w:szCs w:val="22"/>
              </w:rPr>
            </w:pPr>
          </w:p>
          <w:p w14:paraId="52E4EC64" w14:textId="77777777" w:rsidR="0050568A" w:rsidRDefault="0050568A" w:rsidP="00276F4B">
            <w:pPr>
              <w:rPr>
                <w:rFonts w:asciiTheme="minorHAnsi" w:hAnsiTheme="minorHAnsi" w:cstheme="minorHAnsi"/>
                <w:sz w:val="22"/>
                <w:szCs w:val="22"/>
              </w:rPr>
            </w:pPr>
          </w:p>
          <w:p w14:paraId="0FBED0AD" w14:textId="77777777" w:rsidR="006C5791" w:rsidRDefault="006C5791" w:rsidP="006C5791">
            <w:pPr>
              <w:rPr>
                <w:rFonts w:asciiTheme="minorHAnsi" w:hAnsiTheme="minorHAnsi" w:cstheme="minorHAnsi"/>
                <w:sz w:val="22"/>
                <w:szCs w:val="22"/>
              </w:rPr>
            </w:pPr>
            <w:r>
              <w:rPr>
                <w:rFonts w:asciiTheme="minorHAnsi" w:hAnsiTheme="minorHAnsi" w:cstheme="minorHAnsi"/>
                <w:sz w:val="22"/>
                <w:szCs w:val="22"/>
              </w:rPr>
              <w:t xml:space="preserve">R.E. </w:t>
            </w:r>
            <w:r w:rsidRPr="006C5791">
              <w:rPr>
                <w:rFonts w:asciiTheme="minorHAnsi" w:hAnsiTheme="minorHAnsi" w:cstheme="minorHAnsi"/>
                <w:sz w:val="22"/>
                <w:szCs w:val="22"/>
              </w:rPr>
              <w:t xml:space="preserve">5.2 A curriculum map must be developed that: a. Identifies didactic courses and experiential learning experiences, if used, which occur in various settings or practice areas that students will complete to meet the required curriculum components and core knowledge and b. Sequentially and logically organizes the progression of didactic courses from introductory to more advanced learning activities and builds on previous knowledge or experience to achieve the expected depth and breadth of knowledge by completion of the program. </w:t>
            </w:r>
          </w:p>
          <w:p w14:paraId="1EF540D4" w14:textId="6A310248" w:rsidR="006C5791" w:rsidRDefault="006C5791" w:rsidP="006C5791">
            <w:pPr>
              <w:rPr>
                <w:rFonts w:asciiTheme="minorHAnsi" w:hAnsiTheme="minorHAnsi" w:cstheme="minorHAnsi"/>
                <w:sz w:val="22"/>
                <w:szCs w:val="22"/>
              </w:rPr>
            </w:pPr>
          </w:p>
          <w:p w14:paraId="75316EB4" w14:textId="77777777" w:rsidR="006C5791" w:rsidRDefault="006C5791" w:rsidP="006C5791">
            <w:pPr>
              <w:rPr>
                <w:rFonts w:asciiTheme="minorHAnsi" w:hAnsiTheme="minorHAnsi" w:cstheme="minorHAnsi"/>
                <w:sz w:val="22"/>
                <w:szCs w:val="22"/>
              </w:rPr>
            </w:pPr>
          </w:p>
          <w:p w14:paraId="3E374E2D" w14:textId="7A6369F6" w:rsidR="00AD146A" w:rsidRDefault="00AD146A" w:rsidP="006C5791">
            <w:pPr>
              <w:rPr>
                <w:rFonts w:asciiTheme="minorHAnsi" w:hAnsiTheme="minorHAnsi" w:cstheme="minorHAnsi"/>
                <w:sz w:val="22"/>
                <w:szCs w:val="22"/>
              </w:rPr>
            </w:pPr>
          </w:p>
        </w:tc>
        <w:tc>
          <w:tcPr>
            <w:tcW w:w="1984" w:type="dxa"/>
          </w:tcPr>
          <w:p w14:paraId="5621B717" w14:textId="77777777" w:rsidR="002E02DE" w:rsidRDefault="002E02DE" w:rsidP="00276F4B">
            <w:pPr>
              <w:rPr>
                <w:rFonts w:asciiTheme="minorHAnsi" w:hAnsiTheme="minorHAnsi" w:cstheme="minorHAnsi"/>
                <w:sz w:val="22"/>
                <w:szCs w:val="22"/>
              </w:rPr>
            </w:pPr>
          </w:p>
          <w:p w14:paraId="440A1013" w14:textId="7CB262E7" w:rsidR="0050568A" w:rsidRDefault="00AD36A9" w:rsidP="00276F4B">
            <w:pPr>
              <w:rPr>
                <w:rFonts w:asciiTheme="minorHAnsi" w:hAnsiTheme="minorHAnsi" w:cstheme="minorHAnsi"/>
                <w:sz w:val="22"/>
                <w:szCs w:val="22"/>
              </w:rPr>
            </w:pPr>
            <w:r>
              <w:rPr>
                <w:rFonts w:asciiTheme="minorHAnsi" w:hAnsiTheme="minorHAnsi" w:cstheme="minorHAnsi"/>
                <w:sz w:val="22"/>
                <w:szCs w:val="22"/>
              </w:rPr>
              <w:t>Standard 6, page 12</w:t>
            </w:r>
          </w:p>
          <w:p w14:paraId="0FB1912C" w14:textId="77777777" w:rsidR="006C5791" w:rsidRDefault="006C5791" w:rsidP="00276F4B">
            <w:pPr>
              <w:rPr>
                <w:rFonts w:asciiTheme="minorHAnsi" w:hAnsiTheme="minorHAnsi" w:cstheme="minorHAnsi"/>
                <w:sz w:val="22"/>
                <w:szCs w:val="22"/>
              </w:rPr>
            </w:pPr>
          </w:p>
          <w:p w14:paraId="11077D6B" w14:textId="77777777" w:rsidR="007A793D" w:rsidRDefault="007A793D" w:rsidP="00276F4B">
            <w:pPr>
              <w:rPr>
                <w:rFonts w:asciiTheme="minorHAnsi" w:hAnsiTheme="minorHAnsi" w:cstheme="minorHAnsi"/>
                <w:sz w:val="22"/>
                <w:szCs w:val="22"/>
              </w:rPr>
            </w:pPr>
          </w:p>
          <w:p w14:paraId="6514D10A" w14:textId="77777777" w:rsidR="007A793D" w:rsidRDefault="007A793D" w:rsidP="00276F4B">
            <w:pPr>
              <w:rPr>
                <w:rFonts w:asciiTheme="minorHAnsi" w:hAnsiTheme="minorHAnsi" w:cstheme="minorHAnsi"/>
                <w:sz w:val="22"/>
                <w:szCs w:val="22"/>
              </w:rPr>
            </w:pPr>
          </w:p>
          <w:p w14:paraId="3FC24CFE" w14:textId="77777777" w:rsidR="007A793D" w:rsidRDefault="007A793D" w:rsidP="00276F4B">
            <w:pPr>
              <w:rPr>
                <w:rFonts w:asciiTheme="minorHAnsi" w:hAnsiTheme="minorHAnsi" w:cstheme="minorHAnsi"/>
                <w:sz w:val="22"/>
                <w:szCs w:val="22"/>
              </w:rPr>
            </w:pPr>
          </w:p>
          <w:p w14:paraId="427FA67D" w14:textId="77777777" w:rsidR="007A793D" w:rsidRDefault="007A793D" w:rsidP="00276F4B">
            <w:pPr>
              <w:rPr>
                <w:rFonts w:asciiTheme="minorHAnsi" w:hAnsiTheme="minorHAnsi" w:cstheme="minorHAnsi"/>
                <w:sz w:val="22"/>
                <w:szCs w:val="22"/>
              </w:rPr>
            </w:pPr>
          </w:p>
          <w:p w14:paraId="75046DF1" w14:textId="77777777" w:rsidR="007A793D" w:rsidRDefault="007A793D" w:rsidP="00276F4B">
            <w:pPr>
              <w:rPr>
                <w:rFonts w:asciiTheme="minorHAnsi" w:hAnsiTheme="minorHAnsi" w:cstheme="minorHAnsi"/>
                <w:sz w:val="22"/>
                <w:szCs w:val="22"/>
              </w:rPr>
            </w:pPr>
          </w:p>
          <w:p w14:paraId="3E953809" w14:textId="77777777" w:rsidR="007A793D" w:rsidRDefault="007A793D" w:rsidP="00276F4B">
            <w:pPr>
              <w:rPr>
                <w:rFonts w:asciiTheme="minorHAnsi" w:hAnsiTheme="minorHAnsi" w:cstheme="minorHAnsi"/>
                <w:sz w:val="22"/>
                <w:szCs w:val="22"/>
              </w:rPr>
            </w:pPr>
          </w:p>
          <w:p w14:paraId="1F91AB41" w14:textId="77777777" w:rsidR="007A793D" w:rsidRDefault="007A793D" w:rsidP="00276F4B">
            <w:pPr>
              <w:rPr>
                <w:rFonts w:asciiTheme="minorHAnsi" w:hAnsiTheme="minorHAnsi" w:cstheme="minorHAnsi"/>
                <w:sz w:val="22"/>
                <w:szCs w:val="22"/>
              </w:rPr>
            </w:pPr>
          </w:p>
          <w:p w14:paraId="307355D7" w14:textId="77777777" w:rsidR="007A793D" w:rsidRDefault="007A793D" w:rsidP="00276F4B">
            <w:pPr>
              <w:rPr>
                <w:rFonts w:asciiTheme="minorHAnsi" w:hAnsiTheme="minorHAnsi" w:cstheme="minorHAnsi"/>
                <w:sz w:val="22"/>
                <w:szCs w:val="22"/>
              </w:rPr>
            </w:pPr>
          </w:p>
          <w:p w14:paraId="4379A136" w14:textId="77777777" w:rsidR="007A793D" w:rsidRDefault="007A793D" w:rsidP="00276F4B">
            <w:pPr>
              <w:rPr>
                <w:rFonts w:asciiTheme="minorHAnsi" w:hAnsiTheme="minorHAnsi" w:cstheme="minorHAnsi"/>
                <w:sz w:val="22"/>
                <w:szCs w:val="22"/>
              </w:rPr>
            </w:pPr>
          </w:p>
          <w:p w14:paraId="7263959B" w14:textId="77777777" w:rsidR="007A793D" w:rsidRDefault="007A793D" w:rsidP="00276F4B">
            <w:pPr>
              <w:rPr>
                <w:rFonts w:asciiTheme="minorHAnsi" w:hAnsiTheme="minorHAnsi" w:cstheme="minorHAnsi"/>
                <w:sz w:val="22"/>
                <w:szCs w:val="22"/>
              </w:rPr>
            </w:pPr>
          </w:p>
          <w:p w14:paraId="5536A371" w14:textId="77777777" w:rsidR="007A793D" w:rsidRDefault="007A793D" w:rsidP="00276F4B">
            <w:pPr>
              <w:rPr>
                <w:rFonts w:asciiTheme="minorHAnsi" w:hAnsiTheme="minorHAnsi" w:cstheme="minorHAnsi"/>
                <w:sz w:val="22"/>
                <w:szCs w:val="22"/>
              </w:rPr>
            </w:pPr>
          </w:p>
          <w:p w14:paraId="3FCA7303" w14:textId="77777777" w:rsidR="007A793D" w:rsidRDefault="007A793D" w:rsidP="00276F4B">
            <w:pPr>
              <w:rPr>
                <w:rFonts w:asciiTheme="minorHAnsi" w:hAnsiTheme="minorHAnsi" w:cstheme="minorHAnsi"/>
                <w:sz w:val="22"/>
                <w:szCs w:val="22"/>
              </w:rPr>
            </w:pPr>
          </w:p>
          <w:p w14:paraId="425C20CE" w14:textId="77777777" w:rsidR="007A793D" w:rsidRDefault="007A793D" w:rsidP="00276F4B">
            <w:pPr>
              <w:rPr>
                <w:rFonts w:asciiTheme="minorHAnsi" w:hAnsiTheme="minorHAnsi" w:cstheme="minorHAnsi"/>
                <w:sz w:val="22"/>
                <w:szCs w:val="22"/>
              </w:rPr>
            </w:pPr>
          </w:p>
          <w:p w14:paraId="759E32E5" w14:textId="77777777" w:rsidR="007A793D" w:rsidRDefault="007A793D" w:rsidP="00276F4B">
            <w:pPr>
              <w:rPr>
                <w:rFonts w:asciiTheme="minorHAnsi" w:hAnsiTheme="minorHAnsi" w:cstheme="minorHAnsi"/>
                <w:sz w:val="22"/>
                <w:szCs w:val="22"/>
              </w:rPr>
            </w:pPr>
          </w:p>
          <w:p w14:paraId="7354E4BB" w14:textId="77777777" w:rsidR="007A793D" w:rsidRDefault="007A793D" w:rsidP="00276F4B">
            <w:pPr>
              <w:rPr>
                <w:rFonts w:asciiTheme="minorHAnsi" w:hAnsiTheme="minorHAnsi" w:cstheme="minorHAnsi"/>
                <w:sz w:val="22"/>
                <w:szCs w:val="22"/>
              </w:rPr>
            </w:pPr>
          </w:p>
          <w:p w14:paraId="617FD46F" w14:textId="77777777" w:rsidR="007A793D" w:rsidRDefault="007A793D" w:rsidP="00276F4B">
            <w:pPr>
              <w:rPr>
                <w:rFonts w:asciiTheme="minorHAnsi" w:hAnsiTheme="minorHAnsi" w:cstheme="minorHAnsi"/>
                <w:sz w:val="22"/>
                <w:szCs w:val="22"/>
              </w:rPr>
            </w:pPr>
          </w:p>
          <w:p w14:paraId="714B97CF" w14:textId="77777777" w:rsidR="007A793D" w:rsidRDefault="007A793D" w:rsidP="00276F4B">
            <w:pPr>
              <w:rPr>
                <w:rFonts w:asciiTheme="minorHAnsi" w:hAnsiTheme="minorHAnsi" w:cstheme="minorHAnsi"/>
                <w:sz w:val="22"/>
                <w:szCs w:val="22"/>
              </w:rPr>
            </w:pPr>
          </w:p>
          <w:p w14:paraId="6F95848C" w14:textId="77777777" w:rsidR="007A793D" w:rsidRDefault="007A793D" w:rsidP="00276F4B">
            <w:pPr>
              <w:rPr>
                <w:rFonts w:asciiTheme="minorHAnsi" w:hAnsiTheme="minorHAnsi" w:cstheme="minorHAnsi"/>
                <w:sz w:val="22"/>
                <w:szCs w:val="22"/>
              </w:rPr>
            </w:pPr>
          </w:p>
          <w:p w14:paraId="7CEF45A4" w14:textId="77777777" w:rsidR="007A793D" w:rsidRDefault="007A793D" w:rsidP="00276F4B">
            <w:pPr>
              <w:rPr>
                <w:rFonts w:asciiTheme="minorHAnsi" w:hAnsiTheme="minorHAnsi" w:cstheme="minorHAnsi"/>
                <w:sz w:val="22"/>
                <w:szCs w:val="22"/>
              </w:rPr>
            </w:pPr>
          </w:p>
          <w:p w14:paraId="44F2B882" w14:textId="77777777" w:rsidR="007A793D" w:rsidRDefault="007A793D" w:rsidP="00276F4B">
            <w:pPr>
              <w:rPr>
                <w:rFonts w:asciiTheme="minorHAnsi" w:hAnsiTheme="minorHAnsi" w:cstheme="minorHAnsi"/>
                <w:sz w:val="22"/>
                <w:szCs w:val="22"/>
              </w:rPr>
            </w:pPr>
          </w:p>
          <w:p w14:paraId="5FB9E3A2" w14:textId="77777777" w:rsidR="007A793D" w:rsidRDefault="007A793D" w:rsidP="00276F4B">
            <w:pPr>
              <w:rPr>
                <w:rFonts w:asciiTheme="minorHAnsi" w:hAnsiTheme="minorHAnsi" w:cstheme="minorHAnsi"/>
                <w:sz w:val="22"/>
                <w:szCs w:val="22"/>
              </w:rPr>
            </w:pPr>
          </w:p>
          <w:p w14:paraId="3E752162" w14:textId="77777777" w:rsidR="007A793D" w:rsidRDefault="007A793D" w:rsidP="00276F4B">
            <w:pPr>
              <w:rPr>
                <w:rFonts w:asciiTheme="minorHAnsi" w:hAnsiTheme="minorHAnsi" w:cstheme="minorHAnsi"/>
                <w:sz w:val="22"/>
                <w:szCs w:val="22"/>
              </w:rPr>
            </w:pPr>
          </w:p>
          <w:p w14:paraId="2EFBD560" w14:textId="77777777" w:rsidR="007A793D" w:rsidRDefault="007A793D" w:rsidP="00276F4B">
            <w:pPr>
              <w:rPr>
                <w:rFonts w:asciiTheme="minorHAnsi" w:hAnsiTheme="minorHAnsi" w:cstheme="minorHAnsi"/>
                <w:sz w:val="22"/>
                <w:szCs w:val="22"/>
              </w:rPr>
            </w:pPr>
          </w:p>
          <w:p w14:paraId="398E8B8D" w14:textId="77777777" w:rsidR="007A793D" w:rsidRDefault="007A793D" w:rsidP="00276F4B">
            <w:pPr>
              <w:rPr>
                <w:rFonts w:asciiTheme="minorHAnsi" w:hAnsiTheme="minorHAnsi" w:cstheme="minorHAnsi"/>
                <w:sz w:val="22"/>
                <w:szCs w:val="22"/>
              </w:rPr>
            </w:pPr>
          </w:p>
          <w:p w14:paraId="2222A148" w14:textId="77777777" w:rsidR="007A793D" w:rsidRDefault="007A793D" w:rsidP="00276F4B">
            <w:pPr>
              <w:rPr>
                <w:rFonts w:asciiTheme="minorHAnsi" w:hAnsiTheme="minorHAnsi" w:cstheme="minorHAnsi"/>
                <w:sz w:val="22"/>
                <w:szCs w:val="22"/>
              </w:rPr>
            </w:pPr>
          </w:p>
          <w:p w14:paraId="709E789A" w14:textId="77777777" w:rsidR="007A793D" w:rsidRDefault="007A793D" w:rsidP="00276F4B">
            <w:pPr>
              <w:rPr>
                <w:rFonts w:asciiTheme="minorHAnsi" w:hAnsiTheme="minorHAnsi" w:cstheme="minorHAnsi"/>
                <w:sz w:val="22"/>
                <w:szCs w:val="22"/>
              </w:rPr>
            </w:pPr>
          </w:p>
          <w:p w14:paraId="426C9F1B" w14:textId="77777777" w:rsidR="007A793D" w:rsidRDefault="007A793D" w:rsidP="00276F4B">
            <w:pPr>
              <w:rPr>
                <w:rFonts w:asciiTheme="minorHAnsi" w:hAnsiTheme="minorHAnsi" w:cstheme="minorHAnsi"/>
                <w:sz w:val="22"/>
                <w:szCs w:val="22"/>
              </w:rPr>
            </w:pPr>
          </w:p>
          <w:p w14:paraId="6E2340C1" w14:textId="77777777" w:rsidR="007A793D" w:rsidRDefault="007A793D" w:rsidP="00276F4B">
            <w:pPr>
              <w:rPr>
                <w:rFonts w:asciiTheme="minorHAnsi" w:hAnsiTheme="minorHAnsi" w:cstheme="minorHAnsi"/>
                <w:sz w:val="22"/>
                <w:szCs w:val="22"/>
              </w:rPr>
            </w:pPr>
          </w:p>
          <w:p w14:paraId="72854E61" w14:textId="77777777" w:rsidR="007A793D" w:rsidRDefault="007A793D" w:rsidP="00276F4B">
            <w:pPr>
              <w:rPr>
                <w:rFonts w:asciiTheme="minorHAnsi" w:hAnsiTheme="minorHAnsi" w:cstheme="minorHAnsi"/>
                <w:sz w:val="22"/>
                <w:szCs w:val="22"/>
              </w:rPr>
            </w:pPr>
          </w:p>
          <w:p w14:paraId="102AF598" w14:textId="77777777" w:rsidR="007A793D" w:rsidRDefault="007A793D" w:rsidP="00276F4B">
            <w:pPr>
              <w:rPr>
                <w:rFonts w:asciiTheme="minorHAnsi" w:hAnsiTheme="minorHAnsi" w:cstheme="minorHAnsi"/>
                <w:sz w:val="22"/>
                <w:szCs w:val="22"/>
              </w:rPr>
            </w:pPr>
          </w:p>
          <w:p w14:paraId="6F29A8AD" w14:textId="77777777" w:rsidR="007A793D" w:rsidRDefault="007A793D" w:rsidP="00276F4B">
            <w:pPr>
              <w:rPr>
                <w:rFonts w:asciiTheme="minorHAnsi" w:hAnsiTheme="minorHAnsi" w:cstheme="minorHAnsi"/>
                <w:sz w:val="22"/>
                <w:szCs w:val="22"/>
              </w:rPr>
            </w:pPr>
          </w:p>
          <w:p w14:paraId="20CFFD74" w14:textId="77777777" w:rsidR="007A793D" w:rsidRDefault="007A793D" w:rsidP="00276F4B">
            <w:pPr>
              <w:rPr>
                <w:rFonts w:asciiTheme="minorHAnsi" w:hAnsiTheme="minorHAnsi" w:cstheme="minorHAnsi"/>
                <w:sz w:val="22"/>
                <w:szCs w:val="22"/>
              </w:rPr>
            </w:pPr>
          </w:p>
          <w:p w14:paraId="03350352" w14:textId="77777777" w:rsidR="007A793D" w:rsidRDefault="007A793D" w:rsidP="00276F4B">
            <w:pPr>
              <w:rPr>
                <w:rFonts w:asciiTheme="minorHAnsi" w:hAnsiTheme="minorHAnsi" w:cstheme="minorHAnsi"/>
                <w:sz w:val="22"/>
                <w:szCs w:val="22"/>
              </w:rPr>
            </w:pPr>
          </w:p>
          <w:p w14:paraId="0D47699D" w14:textId="77777777" w:rsidR="007A793D" w:rsidRDefault="007A793D" w:rsidP="00276F4B">
            <w:pPr>
              <w:rPr>
                <w:rFonts w:asciiTheme="minorHAnsi" w:hAnsiTheme="minorHAnsi" w:cstheme="minorHAnsi"/>
                <w:sz w:val="22"/>
                <w:szCs w:val="22"/>
              </w:rPr>
            </w:pPr>
          </w:p>
          <w:p w14:paraId="560E6428" w14:textId="77777777" w:rsidR="007A793D" w:rsidRDefault="007A793D" w:rsidP="00276F4B">
            <w:pPr>
              <w:rPr>
                <w:rFonts w:asciiTheme="minorHAnsi" w:hAnsiTheme="minorHAnsi" w:cstheme="minorHAnsi"/>
                <w:sz w:val="22"/>
                <w:szCs w:val="22"/>
              </w:rPr>
            </w:pPr>
          </w:p>
          <w:p w14:paraId="09D94D8D" w14:textId="77777777" w:rsidR="007A793D" w:rsidRDefault="007A793D" w:rsidP="00276F4B">
            <w:pPr>
              <w:rPr>
                <w:rFonts w:asciiTheme="minorHAnsi" w:hAnsiTheme="minorHAnsi" w:cstheme="minorHAnsi"/>
                <w:sz w:val="22"/>
                <w:szCs w:val="22"/>
              </w:rPr>
            </w:pPr>
          </w:p>
          <w:p w14:paraId="171E37B0" w14:textId="77777777" w:rsidR="007A793D" w:rsidRDefault="007A793D" w:rsidP="00276F4B">
            <w:pPr>
              <w:rPr>
                <w:rFonts w:asciiTheme="minorHAnsi" w:hAnsiTheme="minorHAnsi" w:cstheme="minorHAnsi"/>
                <w:sz w:val="22"/>
                <w:szCs w:val="22"/>
              </w:rPr>
            </w:pPr>
          </w:p>
          <w:p w14:paraId="45C4EF8A" w14:textId="77777777" w:rsidR="007A793D" w:rsidRDefault="007A793D" w:rsidP="00276F4B">
            <w:pPr>
              <w:rPr>
                <w:rFonts w:asciiTheme="minorHAnsi" w:hAnsiTheme="minorHAnsi" w:cstheme="minorHAnsi"/>
                <w:sz w:val="22"/>
                <w:szCs w:val="22"/>
              </w:rPr>
            </w:pPr>
          </w:p>
          <w:p w14:paraId="068A8366" w14:textId="7D4B1DD8" w:rsidR="006C5791" w:rsidRDefault="006C5791" w:rsidP="00276F4B">
            <w:pPr>
              <w:rPr>
                <w:rFonts w:asciiTheme="minorHAnsi" w:hAnsiTheme="minorHAnsi" w:cstheme="minorHAnsi"/>
                <w:sz w:val="22"/>
                <w:szCs w:val="22"/>
              </w:rPr>
            </w:pPr>
            <w:r>
              <w:rPr>
                <w:rFonts w:asciiTheme="minorHAnsi" w:hAnsiTheme="minorHAnsi" w:cstheme="minorHAnsi"/>
                <w:sz w:val="22"/>
                <w:szCs w:val="22"/>
              </w:rPr>
              <w:t>Standard 5, page 11</w:t>
            </w:r>
          </w:p>
        </w:tc>
      </w:tr>
      <w:tr w:rsidR="00AD146A" w14:paraId="4E0BEDD1" w14:textId="0ADF8EBD" w:rsidTr="00AD146A">
        <w:tc>
          <w:tcPr>
            <w:tcW w:w="4512" w:type="dxa"/>
          </w:tcPr>
          <w:p w14:paraId="36D91ABC" w14:textId="7DA02C05" w:rsidR="00AD146A" w:rsidRDefault="00AD146A" w:rsidP="00AD146A">
            <w:p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p>
        </w:tc>
        <w:tc>
          <w:tcPr>
            <w:tcW w:w="6464" w:type="dxa"/>
          </w:tcPr>
          <w:p w14:paraId="7EA0F885" w14:textId="77777777" w:rsidR="00AD146A" w:rsidRPr="00AD146A" w:rsidRDefault="00AD146A" w:rsidP="00AD146A">
            <w:pPr>
              <w:rPr>
                <w:rFonts w:asciiTheme="minorHAnsi" w:hAnsiTheme="minorHAnsi" w:cstheme="minorHAnsi"/>
                <w:sz w:val="22"/>
                <w:szCs w:val="22"/>
              </w:rPr>
            </w:pPr>
            <w:r>
              <w:rPr>
                <w:rFonts w:asciiTheme="minorHAnsi" w:hAnsiTheme="minorHAnsi" w:cstheme="minorHAnsi"/>
                <w:sz w:val="22"/>
                <w:szCs w:val="22"/>
              </w:rPr>
              <w:t xml:space="preserve">R.E. 6.3 </w:t>
            </w:r>
            <w:r w:rsidRPr="00AD146A">
              <w:rPr>
                <w:rFonts w:asciiTheme="minorHAnsi" w:hAnsiTheme="minorHAnsi" w:cstheme="minorHAnsi"/>
                <w:sz w:val="22"/>
                <w:szCs w:val="22"/>
              </w:rPr>
              <w:t>Formal curriculum review must routinely occur and: a. Use results of program evaluation and student learning assessment to determine strengths and areas for improvement. b. Include input from students and other stakeholders as appropriate. c. Include assessment of comparability of educational experiences and consistency of learning outcomes when different courses, delivery methods (such as distance education), pathways or tracks or supervised practice sites are used to accomplish the same educational objectives. d. Result in actions to maintain or improve student learning</w:t>
            </w:r>
          </w:p>
          <w:p w14:paraId="182F23AD" w14:textId="69827AA7" w:rsidR="00AD146A" w:rsidRDefault="00AD146A" w:rsidP="00AD146A">
            <w:pPr>
              <w:rPr>
                <w:rFonts w:asciiTheme="minorHAnsi" w:hAnsiTheme="minorHAnsi" w:cstheme="minorHAnsi"/>
                <w:sz w:val="22"/>
                <w:szCs w:val="22"/>
              </w:rPr>
            </w:pPr>
          </w:p>
          <w:p w14:paraId="5CBC0B37" w14:textId="2ADCD3F3" w:rsidR="00AD146A" w:rsidRPr="00AD146A" w:rsidRDefault="00AD146A" w:rsidP="00AD146A">
            <w:pPr>
              <w:rPr>
                <w:rFonts w:asciiTheme="minorHAnsi" w:hAnsiTheme="minorHAnsi" w:cstheme="minorHAnsi"/>
                <w:sz w:val="22"/>
                <w:szCs w:val="22"/>
              </w:rPr>
            </w:pPr>
            <w:r>
              <w:rPr>
                <w:rFonts w:asciiTheme="minorHAnsi" w:hAnsiTheme="minorHAnsi" w:cstheme="minorHAnsi"/>
                <w:sz w:val="22"/>
                <w:szCs w:val="22"/>
              </w:rPr>
              <w:t>R.E. 4.3</w:t>
            </w:r>
            <w:r w:rsidRPr="00AD146A">
              <w:rPr>
                <w:rFonts w:asciiTheme="minorHAnsi" w:hAnsiTheme="minorHAnsi" w:cstheme="minorHAnsi"/>
                <w:sz w:val="22"/>
                <w:szCs w:val="22"/>
              </w:rPr>
              <w:t xml:space="preserve"> Results of the program evaluation process must be used to identify strengths and areas for improvement relative to components </w:t>
            </w:r>
            <w:r w:rsidRPr="00AD146A">
              <w:rPr>
                <w:rFonts w:asciiTheme="minorHAnsi" w:hAnsiTheme="minorHAnsi" w:cstheme="minorHAnsi"/>
                <w:sz w:val="22"/>
                <w:szCs w:val="22"/>
              </w:rPr>
              <w:lastRenderedPageBreak/>
              <w:t>of the program (policies, procedures, curriculum, teaching methods, program length, faculty, preceptors, resources). Short- and long-term strategies must be developed and actions must be taken to maintain program strengths and address areas for improvement identified through the evaluation process.</w:t>
            </w:r>
          </w:p>
          <w:p w14:paraId="1CC8E529" w14:textId="42665A0E" w:rsidR="00AD146A" w:rsidRPr="00AD36A9" w:rsidRDefault="00AD146A" w:rsidP="00AD146A">
            <w:pPr>
              <w:rPr>
                <w:rFonts w:asciiTheme="minorHAnsi" w:hAnsiTheme="minorHAnsi" w:cstheme="minorHAnsi"/>
                <w:sz w:val="22"/>
                <w:szCs w:val="22"/>
              </w:rPr>
            </w:pPr>
          </w:p>
          <w:p w14:paraId="41E374FD" w14:textId="77777777" w:rsidR="00AD146A" w:rsidRDefault="00AD146A" w:rsidP="00AD146A">
            <w:pPr>
              <w:rPr>
                <w:rFonts w:asciiTheme="minorHAnsi" w:hAnsiTheme="minorHAnsi" w:cstheme="minorHAnsi"/>
                <w:sz w:val="22"/>
                <w:szCs w:val="22"/>
              </w:rPr>
            </w:pPr>
          </w:p>
        </w:tc>
        <w:tc>
          <w:tcPr>
            <w:tcW w:w="1984" w:type="dxa"/>
          </w:tcPr>
          <w:p w14:paraId="67DE9394" w14:textId="77777777" w:rsidR="00AD146A" w:rsidRDefault="00AD146A" w:rsidP="00AD146A">
            <w:pPr>
              <w:rPr>
                <w:rFonts w:asciiTheme="minorHAnsi" w:hAnsiTheme="minorHAnsi" w:cstheme="minorHAnsi"/>
                <w:sz w:val="22"/>
                <w:szCs w:val="22"/>
              </w:rPr>
            </w:pPr>
            <w:r>
              <w:rPr>
                <w:rFonts w:asciiTheme="minorHAnsi" w:hAnsiTheme="minorHAnsi" w:cstheme="minorHAnsi"/>
                <w:sz w:val="22"/>
                <w:szCs w:val="22"/>
              </w:rPr>
              <w:lastRenderedPageBreak/>
              <w:t>Standard 6, page 12</w:t>
            </w:r>
          </w:p>
          <w:p w14:paraId="39076CC6" w14:textId="77777777" w:rsidR="00AD146A" w:rsidRDefault="00AD146A" w:rsidP="00AD146A">
            <w:pPr>
              <w:rPr>
                <w:rFonts w:asciiTheme="minorHAnsi" w:hAnsiTheme="minorHAnsi" w:cstheme="minorHAnsi"/>
                <w:sz w:val="22"/>
                <w:szCs w:val="22"/>
              </w:rPr>
            </w:pPr>
          </w:p>
          <w:p w14:paraId="6CADDD70" w14:textId="77777777" w:rsidR="007A793D" w:rsidRDefault="007A793D" w:rsidP="00AD146A">
            <w:pPr>
              <w:rPr>
                <w:rFonts w:asciiTheme="minorHAnsi" w:hAnsiTheme="minorHAnsi" w:cstheme="minorHAnsi"/>
                <w:sz w:val="22"/>
                <w:szCs w:val="22"/>
              </w:rPr>
            </w:pPr>
          </w:p>
          <w:p w14:paraId="72C3FBF0" w14:textId="77777777" w:rsidR="007A793D" w:rsidRDefault="007A793D" w:rsidP="00AD146A">
            <w:pPr>
              <w:rPr>
                <w:rFonts w:asciiTheme="minorHAnsi" w:hAnsiTheme="minorHAnsi" w:cstheme="minorHAnsi"/>
                <w:sz w:val="22"/>
                <w:szCs w:val="22"/>
              </w:rPr>
            </w:pPr>
          </w:p>
          <w:p w14:paraId="4E6EA227" w14:textId="77777777" w:rsidR="007A793D" w:rsidRDefault="007A793D" w:rsidP="00AD146A">
            <w:pPr>
              <w:rPr>
                <w:rFonts w:asciiTheme="minorHAnsi" w:hAnsiTheme="minorHAnsi" w:cstheme="minorHAnsi"/>
                <w:sz w:val="22"/>
                <w:szCs w:val="22"/>
              </w:rPr>
            </w:pPr>
          </w:p>
          <w:p w14:paraId="55E0AFBC" w14:textId="77777777" w:rsidR="007A793D" w:rsidRDefault="007A793D" w:rsidP="00AD146A">
            <w:pPr>
              <w:rPr>
                <w:rFonts w:asciiTheme="minorHAnsi" w:hAnsiTheme="minorHAnsi" w:cstheme="minorHAnsi"/>
                <w:sz w:val="22"/>
                <w:szCs w:val="22"/>
              </w:rPr>
            </w:pPr>
          </w:p>
          <w:p w14:paraId="7392D62E" w14:textId="77777777" w:rsidR="007A793D" w:rsidRDefault="007A793D" w:rsidP="00AD146A">
            <w:pPr>
              <w:rPr>
                <w:rFonts w:asciiTheme="minorHAnsi" w:hAnsiTheme="minorHAnsi" w:cstheme="minorHAnsi"/>
                <w:sz w:val="22"/>
                <w:szCs w:val="22"/>
              </w:rPr>
            </w:pPr>
          </w:p>
          <w:p w14:paraId="3444EB72" w14:textId="77777777" w:rsidR="007A793D" w:rsidRDefault="007A793D" w:rsidP="00AD146A">
            <w:pPr>
              <w:rPr>
                <w:rFonts w:asciiTheme="minorHAnsi" w:hAnsiTheme="minorHAnsi" w:cstheme="minorHAnsi"/>
                <w:sz w:val="22"/>
                <w:szCs w:val="22"/>
              </w:rPr>
            </w:pPr>
          </w:p>
          <w:p w14:paraId="241DA70B" w14:textId="77777777" w:rsidR="007A793D" w:rsidRDefault="007A793D" w:rsidP="00AD146A">
            <w:pPr>
              <w:rPr>
                <w:rFonts w:asciiTheme="minorHAnsi" w:hAnsiTheme="minorHAnsi" w:cstheme="minorHAnsi"/>
                <w:sz w:val="22"/>
                <w:szCs w:val="22"/>
              </w:rPr>
            </w:pPr>
          </w:p>
          <w:p w14:paraId="6943C5F2" w14:textId="77777777" w:rsidR="007A793D" w:rsidRDefault="007A793D" w:rsidP="00AD146A">
            <w:pPr>
              <w:rPr>
                <w:rFonts w:asciiTheme="minorHAnsi" w:hAnsiTheme="minorHAnsi" w:cstheme="minorHAnsi"/>
                <w:sz w:val="22"/>
                <w:szCs w:val="22"/>
              </w:rPr>
            </w:pPr>
          </w:p>
          <w:p w14:paraId="3D73A25B" w14:textId="209E0573" w:rsidR="00AD146A" w:rsidRDefault="00AD146A" w:rsidP="00AD146A">
            <w:pPr>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Standard 4, </w:t>
            </w:r>
            <w:r w:rsidR="006C5791">
              <w:rPr>
                <w:rFonts w:asciiTheme="minorHAnsi" w:hAnsiTheme="minorHAnsi" w:cstheme="minorHAnsi"/>
                <w:sz w:val="22"/>
                <w:szCs w:val="22"/>
              </w:rPr>
              <w:t>p</w:t>
            </w:r>
            <w:r>
              <w:rPr>
                <w:rFonts w:asciiTheme="minorHAnsi" w:hAnsiTheme="minorHAnsi" w:cstheme="minorHAnsi"/>
                <w:sz w:val="22"/>
                <w:szCs w:val="22"/>
              </w:rPr>
              <w:t>age 8</w:t>
            </w:r>
          </w:p>
        </w:tc>
      </w:tr>
      <w:tr w:rsidR="00AD146A" w14:paraId="37DC22C6" w14:textId="182851A8" w:rsidTr="00AD146A">
        <w:tc>
          <w:tcPr>
            <w:tcW w:w="4512" w:type="dxa"/>
          </w:tcPr>
          <w:p w14:paraId="36A2320B" w14:textId="77777777" w:rsidR="00AD146A" w:rsidRPr="003B7718" w:rsidRDefault="00AD146A" w:rsidP="00AD146A">
            <w:pPr>
              <w:rPr>
                <w:rFonts w:asciiTheme="minorHAnsi" w:hAnsiTheme="minorHAnsi" w:cstheme="minorHAnsi"/>
                <w:sz w:val="22"/>
                <w:szCs w:val="22"/>
              </w:rPr>
            </w:pPr>
            <w:r w:rsidRPr="003B7718">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3AAF57F2" w14:textId="77777777" w:rsidR="00AD146A" w:rsidRDefault="00AD146A" w:rsidP="00AD146A">
            <w:pPr>
              <w:rPr>
                <w:rFonts w:asciiTheme="minorHAnsi" w:hAnsiTheme="minorHAnsi" w:cstheme="minorHAnsi"/>
                <w:sz w:val="22"/>
                <w:szCs w:val="22"/>
              </w:rPr>
            </w:pPr>
          </w:p>
        </w:tc>
        <w:tc>
          <w:tcPr>
            <w:tcW w:w="6464" w:type="dxa"/>
          </w:tcPr>
          <w:p w14:paraId="7793DAC7" w14:textId="77777777" w:rsidR="006C5791" w:rsidRPr="00AD146A" w:rsidRDefault="006C5791" w:rsidP="006C5791">
            <w:pPr>
              <w:rPr>
                <w:rFonts w:asciiTheme="minorHAnsi" w:hAnsiTheme="minorHAnsi" w:cstheme="minorHAnsi"/>
                <w:sz w:val="22"/>
                <w:szCs w:val="22"/>
              </w:rPr>
            </w:pPr>
            <w:r>
              <w:rPr>
                <w:rFonts w:asciiTheme="minorHAnsi" w:hAnsiTheme="minorHAnsi" w:cstheme="minorHAnsi"/>
                <w:sz w:val="22"/>
                <w:szCs w:val="22"/>
              </w:rPr>
              <w:t xml:space="preserve">R.E. 6.3 </w:t>
            </w:r>
            <w:r w:rsidRPr="00AD146A">
              <w:rPr>
                <w:rFonts w:asciiTheme="minorHAnsi" w:hAnsiTheme="minorHAnsi" w:cstheme="minorHAnsi"/>
                <w:sz w:val="22"/>
                <w:szCs w:val="22"/>
              </w:rPr>
              <w:t>Formal curriculum review must routinely occur and: a. Use results of program evaluation and student learning assessment to determine strengths and areas for improvement. b. Include input from students and other stakeholders as appropriate. c. Include assessment of comparability of educational experiences and consistency of learning outcomes when different courses, delivery methods (such as distance education), pathways or tracks or supervised practice sites are used to accomplish the same educational objectives. d. Result in actions to maintain or improve student learning</w:t>
            </w:r>
          </w:p>
          <w:p w14:paraId="73CDC3C4" w14:textId="77777777" w:rsidR="00AD146A" w:rsidRDefault="00AD146A" w:rsidP="00AD146A">
            <w:pPr>
              <w:rPr>
                <w:rFonts w:asciiTheme="minorHAnsi" w:hAnsiTheme="minorHAnsi" w:cstheme="minorHAnsi"/>
                <w:sz w:val="22"/>
                <w:szCs w:val="22"/>
              </w:rPr>
            </w:pPr>
          </w:p>
        </w:tc>
        <w:tc>
          <w:tcPr>
            <w:tcW w:w="1984" w:type="dxa"/>
          </w:tcPr>
          <w:p w14:paraId="0635AA10" w14:textId="77777777" w:rsidR="006C5791" w:rsidRDefault="006C5791" w:rsidP="006C5791">
            <w:pPr>
              <w:rPr>
                <w:rFonts w:asciiTheme="minorHAnsi" w:hAnsiTheme="minorHAnsi" w:cstheme="minorHAnsi"/>
                <w:sz w:val="22"/>
                <w:szCs w:val="22"/>
              </w:rPr>
            </w:pPr>
            <w:r>
              <w:rPr>
                <w:rFonts w:asciiTheme="minorHAnsi" w:hAnsiTheme="minorHAnsi" w:cstheme="minorHAnsi"/>
                <w:sz w:val="22"/>
                <w:szCs w:val="22"/>
              </w:rPr>
              <w:t>Standard 6, page 12</w:t>
            </w:r>
          </w:p>
          <w:p w14:paraId="5DD15047" w14:textId="77777777" w:rsidR="00AD146A" w:rsidRDefault="00AD146A" w:rsidP="00AD146A">
            <w:pPr>
              <w:rPr>
                <w:rFonts w:asciiTheme="minorHAnsi" w:hAnsiTheme="minorHAnsi" w:cstheme="minorHAnsi"/>
                <w:sz w:val="22"/>
                <w:szCs w:val="22"/>
              </w:rPr>
            </w:pPr>
          </w:p>
        </w:tc>
      </w:tr>
    </w:tbl>
    <w:p w14:paraId="48B290D2" w14:textId="77777777" w:rsidR="003B7718" w:rsidRPr="003B7718" w:rsidRDefault="003B7718" w:rsidP="00276F4B">
      <w:pPr>
        <w:rPr>
          <w:rFonts w:asciiTheme="minorHAnsi" w:hAnsiTheme="minorHAnsi" w:cstheme="minorHAnsi"/>
          <w:sz w:val="22"/>
          <w:szCs w:val="22"/>
        </w:rPr>
      </w:pPr>
    </w:p>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4EB38CFC" w14:textId="28846BF5" w:rsidR="00276F4B" w:rsidRPr="00265383" w:rsidRDefault="008F6CDC" w:rsidP="0002759C">
      <w:pPr>
        <w:rPr>
          <w:rFonts w:asciiTheme="minorHAnsi" w:hAnsiTheme="minorHAnsi" w:cstheme="minorHAnsi"/>
          <w:sz w:val="22"/>
          <w:szCs w:val="22"/>
        </w:rPr>
      </w:pPr>
      <w:r>
        <w:rPr>
          <w:rFonts w:asciiTheme="minorHAnsi" w:hAnsiTheme="minorHAnsi" w:cstheme="minorHAnsi"/>
          <w:i/>
          <w:sz w:val="22"/>
          <w:szCs w:val="22"/>
        </w:rPr>
        <w:t>Please e-mail your completed form to the UAC/OIRA liaison, Reuben Ternes (</w:t>
      </w:r>
      <w:hyperlink r:id="rId12"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3"/>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83DC" w14:textId="77777777" w:rsidR="00CE3793" w:rsidRDefault="00CE3793">
      <w:r>
        <w:separator/>
      </w:r>
    </w:p>
  </w:endnote>
  <w:endnote w:type="continuationSeparator" w:id="0">
    <w:p w14:paraId="600EF083" w14:textId="77777777" w:rsidR="00CE3793" w:rsidRDefault="00C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57E5" w14:textId="77777777" w:rsidR="00CE3793" w:rsidRDefault="00CE3793">
      <w:r>
        <w:separator/>
      </w:r>
    </w:p>
  </w:footnote>
  <w:footnote w:type="continuationSeparator" w:id="0">
    <w:p w14:paraId="6025808B" w14:textId="77777777" w:rsidR="00CE3793" w:rsidRDefault="00CE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2"/>
  </w:num>
  <w:num w:numId="5">
    <w:abstractNumId w:val="9"/>
  </w:num>
  <w:num w:numId="6">
    <w:abstractNumId w:val="6"/>
  </w:num>
  <w:num w:numId="7">
    <w:abstractNumId w:val="10"/>
  </w:num>
  <w:num w:numId="8">
    <w:abstractNumId w:val="3"/>
  </w:num>
  <w:num w:numId="9">
    <w:abstractNumId w:val="11"/>
  </w:num>
  <w:num w:numId="10">
    <w:abstractNumId w:val="7"/>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0E04"/>
    <w:rsid w:val="000211A9"/>
    <w:rsid w:val="0002759C"/>
    <w:rsid w:val="00030093"/>
    <w:rsid w:val="000371C9"/>
    <w:rsid w:val="00045619"/>
    <w:rsid w:val="00070860"/>
    <w:rsid w:val="000A24BA"/>
    <w:rsid w:val="000A2776"/>
    <w:rsid w:val="000B04CB"/>
    <w:rsid w:val="000B2D84"/>
    <w:rsid w:val="000B33AC"/>
    <w:rsid w:val="000E3EFD"/>
    <w:rsid w:val="000F2656"/>
    <w:rsid w:val="00100091"/>
    <w:rsid w:val="00116ACA"/>
    <w:rsid w:val="00117581"/>
    <w:rsid w:val="00135E1A"/>
    <w:rsid w:val="001526FA"/>
    <w:rsid w:val="00153EC2"/>
    <w:rsid w:val="00155E4D"/>
    <w:rsid w:val="001665F3"/>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3B57"/>
    <w:rsid w:val="002D7939"/>
    <w:rsid w:val="002E02DE"/>
    <w:rsid w:val="003061BD"/>
    <w:rsid w:val="00356160"/>
    <w:rsid w:val="00387128"/>
    <w:rsid w:val="00390441"/>
    <w:rsid w:val="003940B8"/>
    <w:rsid w:val="003B7718"/>
    <w:rsid w:val="003C7E3B"/>
    <w:rsid w:val="003D16B9"/>
    <w:rsid w:val="003F4EAC"/>
    <w:rsid w:val="00434E4D"/>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555A"/>
    <w:rsid w:val="005E7C22"/>
    <w:rsid w:val="005F132D"/>
    <w:rsid w:val="006357B5"/>
    <w:rsid w:val="00656AB9"/>
    <w:rsid w:val="00667C9F"/>
    <w:rsid w:val="00672826"/>
    <w:rsid w:val="00672934"/>
    <w:rsid w:val="0069391C"/>
    <w:rsid w:val="006A7D18"/>
    <w:rsid w:val="006B3D13"/>
    <w:rsid w:val="006C5791"/>
    <w:rsid w:val="007535F6"/>
    <w:rsid w:val="00755A9E"/>
    <w:rsid w:val="007665A9"/>
    <w:rsid w:val="007819E4"/>
    <w:rsid w:val="007A793D"/>
    <w:rsid w:val="007B43BD"/>
    <w:rsid w:val="007E3E54"/>
    <w:rsid w:val="00811E80"/>
    <w:rsid w:val="0083768E"/>
    <w:rsid w:val="008564A7"/>
    <w:rsid w:val="00870759"/>
    <w:rsid w:val="00871CA6"/>
    <w:rsid w:val="008B07A2"/>
    <w:rsid w:val="008B1ACE"/>
    <w:rsid w:val="008B2C83"/>
    <w:rsid w:val="008B34F6"/>
    <w:rsid w:val="008E19C4"/>
    <w:rsid w:val="008F6CDC"/>
    <w:rsid w:val="009001F9"/>
    <w:rsid w:val="00913273"/>
    <w:rsid w:val="00915629"/>
    <w:rsid w:val="009223A5"/>
    <w:rsid w:val="009A7EF8"/>
    <w:rsid w:val="009C621D"/>
    <w:rsid w:val="009E5604"/>
    <w:rsid w:val="00A06BCA"/>
    <w:rsid w:val="00A07AA3"/>
    <w:rsid w:val="00A20D24"/>
    <w:rsid w:val="00A2130A"/>
    <w:rsid w:val="00A21BDF"/>
    <w:rsid w:val="00A602CE"/>
    <w:rsid w:val="00A720A0"/>
    <w:rsid w:val="00A76540"/>
    <w:rsid w:val="00A84795"/>
    <w:rsid w:val="00A87D15"/>
    <w:rsid w:val="00AA1F0D"/>
    <w:rsid w:val="00AA4A8B"/>
    <w:rsid w:val="00AB5A9C"/>
    <w:rsid w:val="00AD146A"/>
    <w:rsid w:val="00AD36A9"/>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F535F"/>
    <w:rsid w:val="00C25936"/>
    <w:rsid w:val="00C47F82"/>
    <w:rsid w:val="00C67341"/>
    <w:rsid w:val="00CB5EB7"/>
    <w:rsid w:val="00CC0E1E"/>
    <w:rsid w:val="00CE3793"/>
    <w:rsid w:val="00CF2A89"/>
    <w:rsid w:val="00D12E5A"/>
    <w:rsid w:val="00D15092"/>
    <w:rsid w:val="00D16DC5"/>
    <w:rsid w:val="00D56E04"/>
    <w:rsid w:val="00D91C4D"/>
    <w:rsid w:val="00DA61CE"/>
    <w:rsid w:val="00DB3CDD"/>
    <w:rsid w:val="00DC04DE"/>
    <w:rsid w:val="00DC10F4"/>
    <w:rsid w:val="00DD7C37"/>
    <w:rsid w:val="00E0391F"/>
    <w:rsid w:val="00E048C1"/>
    <w:rsid w:val="00E55580"/>
    <w:rsid w:val="00E64BAD"/>
    <w:rsid w:val="00EA104D"/>
    <w:rsid w:val="00EC2C85"/>
    <w:rsid w:val="00ED42C3"/>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15:docId w15:val="{70FE3D1E-9055-4AB0-8701-DD1321D8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UnresolvedMention">
    <w:name w:val="Unresolved Mention"/>
    <w:basedOn w:val="DefaultParagraphFont"/>
    <w:uiPriority w:val="99"/>
    <w:semiHidden/>
    <w:unhideWhenUsed/>
    <w:rsid w:val="00AD3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5430">
      <w:bodyDiv w:val="1"/>
      <w:marLeft w:val="0"/>
      <w:marRight w:val="0"/>
      <w:marTop w:val="0"/>
      <w:marBottom w:val="0"/>
      <w:divBdr>
        <w:top w:val="none" w:sz="0" w:space="0" w:color="auto"/>
        <w:left w:val="none" w:sz="0" w:space="0" w:color="auto"/>
        <w:bottom w:val="none" w:sz="0" w:space="0" w:color="auto"/>
        <w:right w:val="none" w:sz="0" w:space="0" w:color="auto"/>
      </w:divBdr>
    </w:div>
    <w:div w:id="288514755">
      <w:bodyDiv w:val="1"/>
      <w:marLeft w:val="0"/>
      <w:marRight w:val="0"/>
      <w:marTop w:val="0"/>
      <w:marBottom w:val="0"/>
      <w:divBdr>
        <w:top w:val="none" w:sz="0" w:space="0" w:color="auto"/>
        <w:left w:val="none" w:sz="0" w:space="0" w:color="auto"/>
        <w:bottom w:val="none" w:sz="0" w:space="0" w:color="auto"/>
        <w:right w:val="none" w:sz="0" w:space="0" w:color="auto"/>
      </w:divBdr>
    </w:div>
    <w:div w:id="382415166">
      <w:bodyDiv w:val="1"/>
      <w:marLeft w:val="0"/>
      <w:marRight w:val="0"/>
      <w:marTop w:val="0"/>
      <w:marBottom w:val="0"/>
      <w:divBdr>
        <w:top w:val="none" w:sz="0" w:space="0" w:color="auto"/>
        <w:left w:val="none" w:sz="0" w:space="0" w:color="auto"/>
        <w:bottom w:val="none" w:sz="0" w:space="0" w:color="auto"/>
        <w:right w:val="none" w:sz="0" w:space="0" w:color="auto"/>
      </w:divBdr>
    </w:div>
    <w:div w:id="453641480">
      <w:bodyDiv w:val="1"/>
      <w:marLeft w:val="0"/>
      <w:marRight w:val="0"/>
      <w:marTop w:val="0"/>
      <w:marBottom w:val="0"/>
      <w:divBdr>
        <w:top w:val="none" w:sz="0" w:space="0" w:color="auto"/>
        <w:left w:val="none" w:sz="0" w:space="0" w:color="auto"/>
        <w:bottom w:val="none" w:sz="0" w:space="0" w:color="auto"/>
        <w:right w:val="none" w:sz="0" w:space="0" w:color="auto"/>
      </w:divBdr>
    </w:div>
    <w:div w:id="791364566">
      <w:bodyDiv w:val="1"/>
      <w:marLeft w:val="0"/>
      <w:marRight w:val="0"/>
      <w:marTop w:val="0"/>
      <w:marBottom w:val="0"/>
      <w:divBdr>
        <w:top w:val="none" w:sz="0" w:space="0" w:color="auto"/>
        <w:left w:val="none" w:sz="0" w:space="0" w:color="auto"/>
        <w:bottom w:val="none" w:sz="0" w:space="0" w:color="auto"/>
        <w:right w:val="none" w:sz="0" w:space="0" w:color="auto"/>
      </w:divBdr>
    </w:div>
    <w:div w:id="823012056">
      <w:bodyDiv w:val="1"/>
      <w:marLeft w:val="0"/>
      <w:marRight w:val="0"/>
      <w:marTop w:val="0"/>
      <w:marBottom w:val="0"/>
      <w:divBdr>
        <w:top w:val="none" w:sz="0" w:space="0" w:color="auto"/>
        <w:left w:val="none" w:sz="0" w:space="0" w:color="auto"/>
        <w:bottom w:val="none" w:sz="0" w:space="0" w:color="auto"/>
        <w:right w:val="none" w:sz="0" w:space="0" w:color="auto"/>
      </w:divBdr>
    </w:div>
    <w:div w:id="905264027">
      <w:bodyDiv w:val="1"/>
      <w:marLeft w:val="0"/>
      <w:marRight w:val="0"/>
      <w:marTop w:val="0"/>
      <w:marBottom w:val="0"/>
      <w:divBdr>
        <w:top w:val="none" w:sz="0" w:space="0" w:color="auto"/>
        <w:left w:val="none" w:sz="0" w:space="0" w:color="auto"/>
        <w:bottom w:val="none" w:sz="0" w:space="0" w:color="auto"/>
        <w:right w:val="none" w:sz="0" w:space="0" w:color="auto"/>
      </w:divBdr>
    </w:div>
    <w:div w:id="948581258">
      <w:bodyDiv w:val="1"/>
      <w:marLeft w:val="0"/>
      <w:marRight w:val="0"/>
      <w:marTop w:val="0"/>
      <w:marBottom w:val="0"/>
      <w:divBdr>
        <w:top w:val="none" w:sz="0" w:space="0" w:color="auto"/>
        <w:left w:val="none" w:sz="0" w:space="0" w:color="auto"/>
        <w:bottom w:val="none" w:sz="0" w:space="0" w:color="auto"/>
        <w:right w:val="none" w:sz="0" w:space="0" w:color="auto"/>
      </w:divBdr>
    </w:div>
    <w:div w:id="984240091">
      <w:bodyDiv w:val="1"/>
      <w:marLeft w:val="0"/>
      <w:marRight w:val="0"/>
      <w:marTop w:val="0"/>
      <w:marBottom w:val="0"/>
      <w:divBdr>
        <w:top w:val="none" w:sz="0" w:space="0" w:color="auto"/>
        <w:left w:val="none" w:sz="0" w:space="0" w:color="auto"/>
        <w:bottom w:val="none" w:sz="0" w:space="0" w:color="auto"/>
        <w:right w:val="none" w:sz="0" w:space="0" w:color="auto"/>
      </w:divBdr>
    </w:div>
    <w:div w:id="1036387964">
      <w:bodyDiv w:val="1"/>
      <w:marLeft w:val="0"/>
      <w:marRight w:val="0"/>
      <w:marTop w:val="0"/>
      <w:marBottom w:val="0"/>
      <w:divBdr>
        <w:top w:val="none" w:sz="0" w:space="0" w:color="auto"/>
        <w:left w:val="none" w:sz="0" w:space="0" w:color="auto"/>
        <w:bottom w:val="none" w:sz="0" w:space="0" w:color="auto"/>
        <w:right w:val="none" w:sz="0" w:space="0" w:color="auto"/>
      </w:divBdr>
    </w:div>
    <w:div w:id="1147937360">
      <w:bodyDiv w:val="1"/>
      <w:marLeft w:val="0"/>
      <w:marRight w:val="0"/>
      <w:marTop w:val="0"/>
      <w:marBottom w:val="0"/>
      <w:divBdr>
        <w:top w:val="none" w:sz="0" w:space="0" w:color="auto"/>
        <w:left w:val="none" w:sz="0" w:space="0" w:color="auto"/>
        <w:bottom w:val="none" w:sz="0" w:space="0" w:color="auto"/>
        <w:right w:val="none" w:sz="0" w:space="0" w:color="auto"/>
      </w:divBdr>
    </w:div>
    <w:div w:id="1173757678">
      <w:bodyDiv w:val="1"/>
      <w:marLeft w:val="0"/>
      <w:marRight w:val="0"/>
      <w:marTop w:val="0"/>
      <w:marBottom w:val="0"/>
      <w:divBdr>
        <w:top w:val="none" w:sz="0" w:space="0" w:color="auto"/>
        <w:left w:val="none" w:sz="0" w:space="0" w:color="auto"/>
        <w:bottom w:val="none" w:sz="0" w:space="0" w:color="auto"/>
        <w:right w:val="none" w:sz="0" w:space="0" w:color="auto"/>
      </w:divBdr>
    </w:div>
    <w:div w:id="1283457458">
      <w:bodyDiv w:val="1"/>
      <w:marLeft w:val="0"/>
      <w:marRight w:val="0"/>
      <w:marTop w:val="0"/>
      <w:marBottom w:val="0"/>
      <w:divBdr>
        <w:top w:val="none" w:sz="0" w:space="0" w:color="auto"/>
        <w:left w:val="none" w:sz="0" w:space="0" w:color="auto"/>
        <w:bottom w:val="none" w:sz="0" w:space="0" w:color="auto"/>
        <w:right w:val="none" w:sz="0" w:space="0" w:color="auto"/>
      </w:divBdr>
    </w:div>
    <w:div w:id="1760905142">
      <w:bodyDiv w:val="1"/>
      <w:marLeft w:val="0"/>
      <w:marRight w:val="0"/>
      <w:marTop w:val="0"/>
      <w:marBottom w:val="0"/>
      <w:divBdr>
        <w:top w:val="none" w:sz="0" w:space="0" w:color="auto"/>
        <w:left w:val="none" w:sz="0" w:space="0" w:color="auto"/>
        <w:bottom w:val="none" w:sz="0" w:space="0" w:color="auto"/>
        <w:right w:val="none" w:sz="0" w:space="0" w:color="auto"/>
      </w:divBdr>
    </w:div>
    <w:div w:id="1867130625">
      <w:bodyDiv w:val="1"/>
      <w:marLeft w:val="0"/>
      <w:marRight w:val="0"/>
      <w:marTop w:val="0"/>
      <w:marBottom w:val="0"/>
      <w:divBdr>
        <w:top w:val="none" w:sz="0" w:space="0" w:color="auto"/>
        <w:left w:val="none" w:sz="0" w:space="0" w:color="auto"/>
        <w:bottom w:val="none" w:sz="0" w:space="0" w:color="auto"/>
        <w:right w:val="none" w:sz="0" w:space="0" w:color="auto"/>
      </w:divBdr>
    </w:div>
    <w:div w:id="1933472439">
      <w:bodyDiv w:val="1"/>
      <w:marLeft w:val="0"/>
      <w:marRight w:val="0"/>
      <w:marTop w:val="0"/>
      <w:marBottom w:val="0"/>
      <w:divBdr>
        <w:top w:val="none" w:sz="0" w:space="0" w:color="auto"/>
        <w:left w:val="none" w:sz="0" w:space="0" w:color="auto"/>
        <w:bottom w:val="none" w:sz="0" w:space="0" w:color="auto"/>
        <w:right w:val="none" w:sz="0" w:space="0" w:color="auto"/>
      </w:divBdr>
    </w:div>
    <w:div w:id="1999265557">
      <w:bodyDiv w:val="1"/>
      <w:marLeft w:val="0"/>
      <w:marRight w:val="0"/>
      <w:marTop w:val="0"/>
      <w:marBottom w:val="0"/>
      <w:divBdr>
        <w:top w:val="none" w:sz="0" w:space="0" w:color="auto"/>
        <w:left w:val="none" w:sz="0" w:space="0" w:color="auto"/>
        <w:bottom w:val="none" w:sz="0" w:space="0" w:color="auto"/>
        <w:right w:val="none" w:sz="0" w:space="0" w:color="auto"/>
      </w:divBdr>
    </w:div>
    <w:div w:id="21312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nes@oakla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media/eatrightpro-files/acend/about-program-accreditation/accreditation-standards/2017-standardsfordpdprograms.pdf?la=en&amp;hash=18A1A38F32363415418B9E72E055AC98DD0438C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0241-8781-2D42-BDAD-FD9212A4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Amanda Lynch</cp:lastModifiedBy>
  <cp:revision>2</cp:revision>
  <cp:lastPrinted>2013-10-30T12:38:00Z</cp:lastPrinted>
  <dcterms:created xsi:type="dcterms:W3CDTF">2021-05-28T12:40:00Z</dcterms:created>
  <dcterms:modified xsi:type="dcterms:W3CDTF">2021-05-28T12:40:00Z</dcterms:modified>
</cp:coreProperties>
</file>